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5546ds3.htm"/>
        <w:bookmarkStart w:id="1" w:name="ksd155546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May 29,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WHITEHAWK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61-1547850</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2 Headquarters Plaza </w:t>
      </w:r>
    </w:p>
    <w:p>
      <w:pPr>
        <w:pStyle w:val="TextBody"/>
        <w:bidi w:val="0"/>
        <w:spacing w:before="0" w:after="0"/>
        <w:jc w:val="center"/>
        <w:rPr>
          <w:rFonts w:ascii="Times New Roman" w:hAnsi="Times New Roman"/>
          <w:b/>
          <w:sz w:val="16"/>
        </w:rPr>
      </w:pPr>
      <w:r>
        <w:rPr>
          <w:rFonts w:ascii="Times New Roman" w:hAnsi="Times New Roman"/>
          <w:b/>
          <w:sz w:val="16"/>
        </w:rPr>
        <w:t xml:space="preserve">East Building, 11th Floor </w:t>
      </w:r>
    </w:p>
    <w:p>
      <w:pPr>
        <w:pStyle w:val="TextBody"/>
        <w:bidi w:val="0"/>
        <w:spacing w:before="0" w:after="0"/>
        <w:jc w:val="center"/>
        <w:rPr>
          <w:rFonts w:ascii="Times New Roman" w:hAnsi="Times New Roman"/>
          <w:b/>
          <w:sz w:val="16"/>
        </w:rPr>
      </w:pPr>
      <w:r>
        <w:rPr>
          <w:rFonts w:ascii="Times New Roman" w:hAnsi="Times New Roman"/>
          <w:b/>
          <w:sz w:val="16"/>
        </w:rPr>
        <w:t xml:space="preserve">Morristown, NJ 07960 </w:t>
      </w:r>
    </w:p>
    <w:p>
      <w:pPr>
        <w:pStyle w:val="TextBody"/>
        <w:bidi w:val="0"/>
        <w:spacing w:before="0" w:after="0"/>
        <w:jc w:val="center"/>
        <w:rPr>
          <w:rFonts w:ascii="Times New Roman" w:hAnsi="Times New Roman"/>
          <w:b/>
          <w:sz w:val="16"/>
        </w:rPr>
      </w:pPr>
      <w:r>
        <w:rPr>
          <w:rFonts w:ascii="Times New Roman" w:hAnsi="Times New Roman"/>
          <w:b/>
          <w:sz w:val="16"/>
        </w:rPr>
        <w:t xml:space="preserve">(551) 321-2234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David J. Lennon, Ph.D.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Whitehawk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2 Headquarters Plaza </w:t>
      </w:r>
    </w:p>
    <w:p>
      <w:pPr>
        <w:pStyle w:val="TextBody"/>
        <w:bidi w:val="0"/>
        <w:spacing w:before="0" w:after="0"/>
        <w:jc w:val="center"/>
        <w:rPr>
          <w:rFonts w:ascii="Times New Roman" w:hAnsi="Times New Roman"/>
          <w:b/>
          <w:sz w:val="16"/>
        </w:rPr>
      </w:pPr>
      <w:r>
        <w:rPr>
          <w:rFonts w:ascii="Times New Roman" w:hAnsi="Times New Roman"/>
          <w:b/>
          <w:sz w:val="16"/>
        </w:rPr>
        <w:t xml:space="preserve">East Building, 11th Floor </w:t>
      </w:r>
    </w:p>
    <w:p>
      <w:pPr>
        <w:pStyle w:val="TextBody"/>
        <w:bidi w:val="0"/>
        <w:spacing w:before="0" w:after="0"/>
        <w:jc w:val="center"/>
        <w:rPr>
          <w:rFonts w:ascii="Times New Roman" w:hAnsi="Times New Roman"/>
          <w:b/>
          <w:sz w:val="16"/>
        </w:rPr>
      </w:pPr>
      <w:r>
        <w:rPr>
          <w:rFonts w:ascii="Times New Roman" w:hAnsi="Times New Roman"/>
          <w:b/>
          <w:sz w:val="16"/>
        </w:rPr>
        <w:t xml:space="preserve">Morristown, NJ 07960 </w:t>
      </w:r>
    </w:p>
    <w:p>
      <w:pPr>
        <w:pStyle w:val="TextBody"/>
        <w:bidi w:val="0"/>
        <w:spacing w:before="0" w:after="0"/>
        <w:jc w:val="center"/>
        <w:rPr>
          <w:rFonts w:ascii="Times New Roman" w:hAnsi="Times New Roman"/>
          <w:b/>
          <w:sz w:val="16"/>
        </w:rPr>
      </w:pPr>
      <w:r>
        <w:rPr>
          <w:rFonts w:ascii="Times New Roman" w:hAnsi="Times New Roman"/>
          <w:b/>
          <w:sz w:val="16"/>
        </w:rPr>
        <w:t xml:space="preserve">(551) 321-2234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20" w:after="0"/>
        <w:jc w:val="center"/>
        <w:rPr>
          <w:rFonts w:ascii="Times New Roman" w:hAnsi="Times New Roman"/>
          <w:b/>
          <w:sz w:val="16"/>
        </w:rPr>
      </w:pPr>
      <w:r>
        <w:rPr>
          <w:rFonts w:ascii="Times New Roman" w:hAnsi="Times New Roman"/>
          <w:b/>
          <w:sz w:val="16"/>
        </w:rPr>
        <w:t xml:space="preserve">Dan Koeppen, Esq. </w:t>
      </w:r>
    </w:p>
    <w:p>
      <w:pPr>
        <w:pStyle w:val="TextBody"/>
        <w:bidi w:val="0"/>
        <w:spacing w:before="0" w:after="0"/>
        <w:jc w:val="center"/>
        <w:rPr>
          <w:rFonts w:ascii="Times New Roman" w:hAnsi="Times New Roman"/>
          <w:b/>
          <w:sz w:val="16"/>
        </w:rPr>
      </w:pPr>
      <w:r>
        <w:rPr>
          <w:rFonts w:ascii="Times New Roman" w:hAnsi="Times New Roman"/>
          <w:b/>
          <w:sz w:val="16"/>
        </w:rPr>
        <w:t xml:space="preserve">Robert L. Wernli, Jr., Esq. </w:t>
      </w:r>
    </w:p>
    <w:p>
      <w:pPr>
        <w:pStyle w:val="TextBody"/>
        <w:bidi w:val="0"/>
        <w:spacing w:before="0" w:after="0"/>
        <w:jc w:val="center"/>
        <w:rPr>
          <w:rFonts w:ascii="Times New Roman" w:hAnsi="Times New Roman"/>
          <w:b/>
          <w:sz w:val="16"/>
        </w:rPr>
      </w:pPr>
      <w:r>
        <w:rPr>
          <w:rFonts w:ascii="Times New Roman" w:hAnsi="Times New Roman"/>
          <w:b/>
          <w:sz w:val="16"/>
        </w:rPr>
        <w:t xml:space="preserve">Wilson Sonsini Goodrich &amp; Rosati, Professional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12235 El Camino Real </w:t>
      </w:r>
    </w:p>
    <w:p>
      <w:pPr>
        <w:pStyle w:val="TextBody"/>
        <w:bidi w:val="0"/>
        <w:spacing w:before="0" w:after="0"/>
        <w:jc w:val="center"/>
        <w:rPr>
          <w:rFonts w:ascii="Times New Roman" w:hAnsi="Times New Roman"/>
          <w:b/>
          <w:sz w:val="16"/>
        </w:rPr>
      </w:pPr>
      <w:r>
        <w:rPr>
          <w:rFonts w:ascii="Times New Roman" w:hAnsi="Times New Roman"/>
          <w:b/>
          <w:sz w:val="16"/>
        </w:rPr>
        <w:t xml:space="preserve">San Diego, CA 92130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both"/>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the registration statement. </w:t>
      </w:r>
    </w:p>
    <w:p>
      <w:pPr>
        <w:pStyle w:val="TextBody"/>
        <w:bidi w:val="0"/>
        <w:spacing w:before="120" w:after="0"/>
        <w:jc w:val="both"/>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both"/>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both"/>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both"/>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8"/>
        <w:gridCol w:w="106"/>
        <w:gridCol w:w="5500"/>
        <w:gridCol w:w="120"/>
        <w:gridCol w:w="2295"/>
        <w:gridCol w:w="106"/>
        <w:gridCol w:w="240"/>
      </w:tblGrid>
      <w:tr>
        <w:trPr/>
        <w:tc>
          <w:tcPr>
            <w:tcW w:w="183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38" w:type="dxa"/>
            <w:tcBorders/>
            <w:vAlign w:val="bottom"/>
          </w:tcPr>
          <w:p>
            <w:pPr>
              <w:pStyle w:val="TableContents"/>
              <w:bidi w:val="0"/>
              <w:spacing w:before="0" w:after="0"/>
              <w:jc w:val="both"/>
              <w:rPr>
                <w:rFonts w:ascii="Times New Roman" w:hAnsi="Times New Roman"/>
                <w:sz w:val="16"/>
              </w:rPr>
            </w:pPr>
            <w:r>
              <w:rPr>
                <w:rFonts w:ascii="Times New Roman" w:hAnsi="Times New Roman"/>
                <w:sz w:val="16"/>
              </w:rPr>
              <w:t>Large accelerated filer</w:t>
            </w:r>
          </w:p>
        </w:tc>
        <w:tc>
          <w:tcPr>
            <w:tcW w:w="106" w:type="dxa"/>
            <w:tcBorders/>
            <w:vAlign w:val="bottom"/>
          </w:tcPr>
          <w:p>
            <w:pPr>
              <w:pStyle w:val="TableContents"/>
              <w:bidi w:val="0"/>
              <w:spacing w:before="0" w:after="283"/>
              <w:jc w:val="left"/>
              <w:rPr/>
            </w:pPr>
            <w:r>
              <w:rPr/>
              <w:t> </w:t>
            </w:r>
          </w:p>
        </w:tc>
        <w:tc>
          <w:tcPr>
            <w:tcW w:w="5500" w:type="dxa"/>
            <w:tcBorders/>
            <w:vAlign w:val="bottom"/>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0"/>
              <w:jc w:val="both"/>
              <w:rPr>
                <w:rFonts w:ascii="Times New Roman" w:hAnsi="Times New Roman"/>
                <w:sz w:val="16"/>
              </w:rPr>
            </w:pPr>
            <w:r>
              <w:rPr>
                <w:rFonts w:ascii="Times New Roman" w:hAnsi="Times New Roman"/>
                <w:sz w:val="16"/>
              </w:rPr>
              <w:t>Accelerated filer</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both"/>
              <w:rPr/>
            </w:pPr>
            <w:r>
              <w:rPr/>
              <w:t>☐</w:t>
            </w:r>
          </w:p>
        </w:tc>
      </w:tr>
      <w:tr>
        <w:trPr>
          <w:trHeight w:val="120" w:hRule="atLeast"/>
        </w:trPr>
        <w:tc>
          <w:tcPr>
            <w:tcW w:w="1838" w:type="dxa"/>
            <w:tcBorders/>
            <w:vAlign w:val="center"/>
          </w:tcPr>
          <w:p>
            <w:pPr>
              <w:pStyle w:val="TableContents"/>
              <w:bidi w:val="0"/>
              <w:spacing w:before="0" w:after="283"/>
              <w:jc w:val="left"/>
              <w:rPr>
                <w:sz w:val="4"/>
                <w:szCs w:val="4"/>
              </w:rPr>
            </w:pPr>
            <w:r>
              <w:rPr>
                <w:sz w:val="4"/>
                <w:szCs w:val="4"/>
              </w:rPr>
            </w:r>
          </w:p>
        </w:tc>
        <w:tc>
          <w:tcPr>
            <w:tcW w:w="5606" w:type="dxa"/>
            <w:gridSpan w:val="2"/>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c>
          <w:tcPr>
            <w:tcW w:w="346" w:type="dxa"/>
            <w:gridSpan w:val="2"/>
            <w:tcBorders/>
            <w:vAlign w:val="center"/>
          </w:tcPr>
          <w:p>
            <w:pPr>
              <w:pStyle w:val="TableContents"/>
              <w:bidi w:val="0"/>
              <w:spacing w:before="0" w:after="283"/>
              <w:jc w:val="left"/>
              <w:rPr>
                <w:sz w:val="4"/>
                <w:szCs w:val="4"/>
              </w:rPr>
            </w:pPr>
            <w:r>
              <w:rPr>
                <w:sz w:val="4"/>
                <w:szCs w:val="4"/>
              </w:rPr>
            </w:r>
          </w:p>
        </w:tc>
      </w:tr>
      <w:tr>
        <w:trPr/>
        <w:tc>
          <w:tcPr>
            <w:tcW w:w="1838" w:type="dxa"/>
            <w:tcBorders/>
            <w:vAlign w:val="bottom"/>
          </w:tcPr>
          <w:p>
            <w:pPr>
              <w:pStyle w:val="TableContents"/>
              <w:bidi w:val="0"/>
              <w:spacing w:before="0" w:after="0"/>
              <w:jc w:val="both"/>
              <w:rPr>
                <w:rFonts w:ascii="Times New Roman" w:hAnsi="Times New Roman"/>
                <w:sz w:val="16"/>
              </w:rPr>
            </w:pPr>
            <w:r>
              <w:rPr>
                <w:rFonts w:ascii="Times New Roman" w:hAnsi="Times New Roman"/>
                <w:sz w:val="16"/>
              </w:rPr>
              <w:t>Non-accelerated filer</w:t>
            </w:r>
          </w:p>
        </w:tc>
        <w:tc>
          <w:tcPr>
            <w:tcW w:w="106" w:type="dxa"/>
            <w:tcBorders/>
            <w:vAlign w:val="bottom"/>
          </w:tcPr>
          <w:p>
            <w:pPr>
              <w:pStyle w:val="TableContents"/>
              <w:bidi w:val="0"/>
              <w:spacing w:before="0" w:after="283"/>
              <w:jc w:val="left"/>
              <w:rPr/>
            </w:pPr>
            <w:r>
              <w:rPr/>
              <w:t> </w:t>
            </w:r>
          </w:p>
        </w:tc>
        <w:tc>
          <w:tcPr>
            <w:tcW w:w="5500" w:type="dxa"/>
            <w:tcBorders/>
            <w:vAlign w:val="bottom"/>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0"/>
              <w:jc w:val="both"/>
              <w:rPr>
                <w:rFonts w:ascii="Times New Roman" w:hAnsi="Times New Roman"/>
                <w:sz w:val="16"/>
              </w:rPr>
            </w:pPr>
            <w:r>
              <w:rPr>
                <w:rFonts w:ascii="Times New Roman" w:hAnsi="Times New Roman"/>
                <w:sz w:val="16"/>
              </w:rPr>
              <w:t>Smaller reporting company</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both"/>
              <w:rPr/>
            </w:pPr>
            <w:r>
              <w:rPr/>
              <w:t>☒</w:t>
            </w:r>
          </w:p>
        </w:tc>
      </w:tr>
      <w:tr>
        <w:trPr>
          <w:trHeight w:val="120" w:hRule="atLeast"/>
        </w:trPr>
        <w:tc>
          <w:tcPr>
            <w:tcW w:w="1838" w:type="dxa"/>
            <w:tcBorders/>
            <w:vAlign w:val="center"/>
          </w:tcPr>
          <w:p>
            <w:pPr>
              <w:pStyle w:val="TableContents"/>
              <w:bidi w:val="0"/>
              <w:spacing w:before="0" w:after="283"/>
              <w:jc w:val="left"/>
              <w:rPr>
                <w:sz w:val="4"/>
                <w:szCs w:val="4"/>
              </w:rPr>
            </w:pPr>
            <w:r>
              <w:rPr>
                <w:sz w:val="4"/>
                <w:szCs w:val="4"/>
              </w:rPr>
            </w:r>
          </w:p>
        </w:tc>
        <w:tc>
          <w:tcPr>
            <w:tcW w:w="5606" w:type="dxa"/>
            <w:gridSpan w:val="2"/>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c>
          <w:tcPr>
            <w:tcW w:w="346" w:type="dxa"/>
            <w:gridSpan w:val="2"/>
            <w:tcBorders/>
            <w:vAlign w:val="center"/>
          </w:tcPr>
          <w:p>
            <w:pPr>
              <w:pStyle w:val="TableContents"/>
              <w:bidi w:val="0"/>
              <w:spacing w:before="0" w:after="283"/>
              <w:jc w:val="left"/>
              <w:rPr>
                <w:sz w:val="4"/>
                <w:szCs w:val="4"/>
              </w:rPr>
            </w:pPr>
            <w:r>
              <w:rPr>
                <w:sz w:val="4"/>
                <w:szCs w:val="4"/>
              </w:rPr>
            </w:r>
          </w:p>
        </w:tc>
      </w:tr>
      <w:tr>
        <w:trPr/>
        <w:tc>
          <w:tcPr>
            <w:tcW w:w="183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5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0"/>
              <w:jc w:val="both"/>
              <w:rPr>
                <w:rFonts w:ascii="Times New Roman" w:hAnsi="Times New Roman"/>
                <w:sz w:val="16"/>
              </w:rPr>
            </w:pPr>
            <w:r>
              <w:rPr>
                <w:rFonts w:ascii="Times New Roman" w:hAnsi="Times New Roman"/>
                <w:sz w:val="16"/>
              </w:rPr>
              <w:t>Emerging growth company</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both"/>
              <w:rPr/>
            </w:pPr>
            <w:r>
              <w:rPr/>
              <w:t>☐</w:t>
            </w:r>
          </w:p>
        </w:tc>
      </w:tr>
    </w:tbl>
    <w:p>
      <w:pPr>
        <w:pStyle w:val="TextBody"/>
        <w:bidi w:val="0"/>
        <w:spacing w:before="120" w:after="0"/>
        <w:jc w:val="both"/>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Arial Narrow" w:hAnsi="Arial Narrow"/>
          <w:b/>
          <w:color w:val="FF4338"/>
          <w:sz w:val="16"/>
        </w:rPr>
      </w:pPr>
      <w:r>
        <w:rPr>
          <w:rFonts w:ascii="Arial Narrow" w:hAnsi="Arial Narrow"/>
          <w:b/>
          <w:color w:val="FF4338"/>
          <w:sz w:val="16"/>
        </w:rPr>
        <w:t xml:space="preserve">The information in this prospectus is not complete and may be changed. The selling stockholders named in this prospectus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MAY 29, 2026 </w:t>
      </w:r>
    </w:p>
    <w:p>
      <w:pPr>
        <w:pStyle w:val="TextBody"/>
        <w:bidi w:val="0"/>
        <w:spacing w:before="20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4048125" cy="878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48125" cy="878205"/>
                    </a:xfrm>
                    <a:prstGeom prst="rect">
                      <a:avLst/>
                    </a:prstGeom>
                  </pic:spPr>
                </pic:pic>
              </a:graphicData>
            </a:graphic>
          </wp:inline>
        </w:drawing>
      </w:r>
      <w:r>
        <w:rPr/>
        <w:t xml:space="preserve"> </w:t>
      </w:r>
    </w:p>
    <w:p>
      <w:pPr>
        <w:pStyle w:val="TextBody"/>
        <w:bidi w:val="0"/>
        <w:spacing w:before="200" w:after="0"/>
        <w:ind w:left="960" w:right="960" w:hanging="0"/>
        <w:jc w:val="center"/>
        <w:rPr>
          <w:rFonts w:ascii="Times New Roman" w:hAnsi="Times New Roman"/>
          <w:b/>
          <w:sz w:val="28"/>
        </w:rPr>
      </w:pPr>
      <w:r>
        <w:rPr>
          <w:rFonts w:ascii="Times New Roman" w:hAnsi="Times New Roman"/>
          <w:b/>
          <w:sz w:val="28"/>
        </w:rPr>
        <w:t xml:space="preserve">22,321,887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This prospectus relates to the offer and resale from time to time of up to 22,321,887 shares (the “</w:t>
      </w:r>
      <w:r>
        <w:rPr>
          <w:rFonts w:ascii="Times New Roman" w:hAnsi="Times New Roman"/>
          <w:b/>
          <w:sz w:val="18"/>
        </w:rPr>
        <w:t>Shares</w:t>
      </w:r>
      <w:r>
        <w:rPr>
          <w:rFonts w:ascii="Times New Roman" w:hAnsi="Times New Roman"/>
          <w:sz w:val="18"/>
        </w:rPr>
        <w:t>”) of common stock, par value $0.0001 per share, of Whitehawk Therapeutics, Inc., a Delaware corporation (the “</w:t>
      </w:r>
      <w:r>
        <w:rPr>
          <w:rFonts w:ascii="Times New Roman" w:hAnsi="Times New Roman"/>
          <w:b/>
          <w:sz w:val="18"/>
        </w:rPr>
        <w:t>Company</w:t>
      </w:r>
      <w:r>
        <w:rPr>
          <w:rFonts w:ascii="Times New Roman" w:hAnsi="Times New Roman"/>
          <w:sz w:val="18"/>
        </w:rPr>
        <w:t>”), by the selling stockholders identified in this prospectus, including their transferees, pledgees or donees or their respective successors (the “</w:t>
      </w:r>
      <w:r>
        <w:rPr>
          <w:rFonts w:ascii="Times New Roman" w:hAnsi="Times New Roman"/>
          <w:b/>
          <w:sz w:val="18"/>
        </w:rPr>
        <w:t>selling stockholders</w:t>
      </w:r>
      <w:r>
        <w:rPr>
          <w:rFonts w:ascii="Times New Roman" w:hAnsi="Times New Roman"/>
          <w:sz w:val="18"/>
        </w:rPr>
        <w:t>”), which Shares consist of 4,330,866 outstanding shares of our common stock held by the selling stockholders and 17,991,021 shares of our common stock issuable upon the exercise of outstanding pre-funded warrants to purchase shares of our common stock held by the selling stockholders. Such securities were issued and sold to the selling stockholders in a private placement (the “</w:t>
      </w:r>
      <w:r>
        <w:rPr>
          <w:rFonts w:ascii="Times New Roman" w:hAnsi="Times New Roman"/>
          <w:b/>
          <w:sz w:val="18"/>
        </w:rPr>
        <w:t>Private Placement</w:t>
      </w:r>
      <w:r>
        <w:rPr>
          <w:rFonts w:ascii="Times New Roman" w:hAnsi="Times New Roman"/>
          <w:sz w:val="18"/>
        </w:rPr>
        <w:t>”) pursuant to a securities purchase agreement among us and such selling stockholders dated May 12, 2026 (the “</w:t>
      </w:r>
      <w:r>
        <w:rPr>
          <w:rFonts w:ascii="Times New Roman" w:hAnsi="Times New Roman"/>
          <w:b/>
          <w:sz w:val="18"/>
        </w:rPr>
        <w:t>Purchase Agreement</w:t>
      </w:r>
      <w:r>
        <w:rPr>
          <w:rFonts w:ascii="Times New Roman" w:hAnsi="Times New Roman"/>
          <w:sz w:val="18"/>
        </w:rPr>
        <w:t>”). Concurrently with the closing of the Private Placement, we entered into a registration rights agreement (the “</w:t>
      </w:r>
      <w:r>
        <w:rPr>
          <w:rFonts w:ascii="Times New Roman" w:hAnsi="Times New Roman"/>
          <w:b/>
          <w:sz w:val="18"/>
        </w:rPr>
        <w:t>Registration Rights Agreement</w:t>
      </w:r>
      <w:r>
        <w:rPr>
          <w:rFonts w:ascii="Times New Roman" w:hAnsi="Times New Roman"/>
          <w:sz w:val="18"/>
        </w:rPr>
        <w:t xml:space="preserve">”) with the selling stockholders, and we are registering the Shares being offered hereunder pursuant to such registration rights agreement on behalf of the selling stockholders, to be offered and sold by them from time to time. We will not receive any proceeds from the sale of the Shares offered by this prospectus.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 xml:space="preserve">We have agreed, pursuant to the registration rights agreement, to bear all of the expenses incurred in connection with the registration of the Shares. The selling stockholders will pay or assume discounts, commissions, fees of underwriters, selling brokers or dealer managers and similar expenses, if any, incurred for the sale of the Shares.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 xml:space="preserve">The selling stockholders identified in this prospectus may offer the Shares pursuant to this prospectus from time to time through public or private transactions at fixed prices, at market prices prevailing at the time of sale, at prices related to prevailing market prices or at privately negotiated prices. The selling stockholders may sell shares to or through underwriters, broker-dealers or agents, who may receive compensation in the form of discounts, concessions or commissions from the selling stockholders, the purchasers of the shares, or both. For additional information on the methods of sale that may be used by the selling stockholders, see the section entitled “Plan of Distribution” on page 15. For a list of the selling stockholders, see the section entitled “Selling Stockholders” on page 10.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 xml:space="preserve">We may amend or supplement this prospectus from time to time by filing amendments or supplements as required. You should carefully read this prospectus and any amendments or supplements accompanying this prospectus, together with any documents incorporated by reference herein or therein, before you make your investment decision.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 xml:space="preserve">The selling stockholders may sell any, all or none of the securities offered by this prospectus and we do not know when or in what amount the selling stockholders may sell their common shares hereunder following the effective date of the registration statement of which this prospectus forms a part.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We are a smaller reporting company as defined in Rule 12b-2 promulgated under the Securities Exchange Act of 1934, as amended (the “</w:t>
      </w:r>
      <w:r>
        <w:rPr>
          <w:rFonts w:ascii="Times New Roman" w:hAnsi="Times New Roman"/>
          <w:b/>
          <w:sz w:val="18"/>
        </w:rPr>
        <w:t>Exchange Act</w:t>
      </w:r>
      <w:r>
        <w:rPr>
          <w:rFonts w:ascii="Times New Roman" w:hAnsi="Times New Roman"/>
          <w:sz w:val="18"/>
        </w:rPr>
        <w:t xml:space="preserve">”). As such, we have elected to rely on certain reduced public company disclosure requirements. See “Implications of Being a Smaller Reporting Company.” </w:t>
      </w:r>
    </w:p>
    <w:p>
      <w:pPr>
        <w:pStyle w:val="TextBody"/>
        <w:bidi w:val="0"/>
        <w:spacing w:before="200" w:after="0"/>
        <w:ind w:left="960" w:right="960" w:hanging="0"/>
        <w:jc w:val="both"/>
        <w:rPr>
          <w:rFonts w:ascii="Times New Roman" w:hAnsi="Times New Roman"/>
          <w:sz w:val="18"/>
        </w:rPr>
      </w:pPr>
      <w:r>
        <w:rPr>
          <w:rFonts w:ascii="Times New Roman" w:hAnsi="Times New Roman"/>
          <w:sz w:val="18"/>
        </w:rPr>
        <w:t xml:space="preserve">Our common stock is listed on The Nasdaq Capital Market under the symbol “WHWK.” On May 28, 2026, the last reported sale price of our common stock was $4.78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00" w:after="0"/>
        <w:ind w:left="960" w:right="960" w:hanging="0"/>
        <w:jc w:val="both"/>
        <w:rPr/>
      </w:pPr>
      <w:r>
        <w:rPr>
          <w:rFonts w:ascii="Times New Roman" w:hAnsi="Times New Roman"/>
          <w:b/>
          <w:sz w:val="20"/>
        </w:rPr>
        <w:t>Investing in our securities involves a high degree of risk. See “</w:t>
      </w:r>
      <w:hyperlink w:anchor="tx155546_2">
        <w:r>
          <w:rPr>
            <w:rStyle w:val="InternetLink"/>
            <w:rFonts w:ascii="Times New Roman" w:hAnsi="Times New Roman"/>
            <w:b/>
            <w:sz w:val="20"/>
          </w:rPr>
          <w:t>Risk Factors</w:t>
        </w:r>
      </w:hyperlink>
      <w:r>
        <w:rPr>
          <w:rFonts w:ascii="Times New Roman" w:hAnsi="Times New Roman"/>
          <w:b/>
          <w:sz w:val="20"/>
        </w:rPr>
        <w:t xml:space="preserve">” on page 6 of this prospectus and in the documents incorporated by reference in this prospectus, as updated in the applicable prospectus supplement, and other future filings we make with the Securities and Exchange Commission that are incorporated by reference into this prospectus, for a discussion of the factors you should consider carefully before deciding to purchase our securities. </w:t>
      </w:r>
    </w:p>
    <w:p>
      <w:pPr>
        <w:pStyle w:val="TextBody"/>
        <w:bidi w:val="0"/>
        <w:spacing w:before="20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00" w:after="0"/>
        <w:ind w:left="960" w:right="960" w:hanging="0"/>
        <w:jc w:val="center"/>
        <w:rPr>
          <w:rFonts w:ascii="Times New Roman" w:hAnsi="Times New Roman"/>
          <w:b/>
          <w:sz w:val="18"/>
        </w:rPr>
      </w:pPr>
      <w:r>
        <w:rPr>
          <w:rFonts w:ascii="Times New Roman" w:hAnsi="Times New Roman"/>
          <w:b/>
          <w:sz w:val="18"/>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37"/>
        <w:gridCol w:w="336"/>
        <w:gridCol w:w="532"/>
      </w:tblGrid>
      <w:tr>
        <w:trPr/>
        <w:tc>
          <w:tcPr>
            <w:tcW w:w="9337"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337"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532" w:type="dxa"/>
            <w:tcBorders>
              <w:bottom w:val="single" w:sz="8" w:space="0" w:color="000000"/>
            </w:tcBorders>
            <w:tcMar>
              <w:bottom w:w="28" w:type="dxa"/>
            </w:tcMar>
            <w:vAlign w:val="bottom"/>
          </w:tcPr>
          <w:p>
            <w:pPr>
              <w:pStyle w:val="TableContents"/>
              <w:bidi w:val="0"/>
              <w:spacing w:before="0" w:after="283"/>
              <w:jc w:val="center"/>
              <w:rPr>
                <w:b/>
              </w:rPr>
            </w:pPr>
            <w:r>
              <w:rPr>
                <w:b/>
              </w:rPr>
              <w:t>Page</w:t>
            </w:r>
          </w:p>
        </w:tc>
      </w:tr>
      <w:tr>
        <w:trPr/>
        <w:tc>
          <w:tcPr>
            <w:tcW w:w="9337" w:type="dxa"/>
            <w:tcBorders/>
            <w:vAlign w:val="bottom"/>
          </w:tcPr>
          <w:p>
            <w:pPr>
              <w:pStyle w:val="TableContents"/>
              <w:bidi w:val="0"/>
              <w:spacing w:before="0" w:after="0"/>
              <w:jc w:val="left"/>
              <w:rPr/>
            </w:pPr>
            <w:hyperlink w:anchor="tx155546_1">
              <w:r>
                <w:rPr>
                  <w:rStyle w:val="InternetLink"/>
                  <w:rFonts w:ascii="Times New Roman" w:hAnsi="Times New Roman"/>
                  <w:sz w:val="20"/>
                </w:rPr>
                <w:t>PROSPECTUS SUMMARY</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w:t>
            </w:r>
          </w:p>
        </w:tc>
      </w:tr>
      <w:tr>
        <w:trPr/>
        <w:tc>
          <w:tcPr>
            <w:tcW w:w="9337" w:type="dxa"/>
            <w:tcBorders/>
            <w:vAlign w:val="bottom"/>
          </w:tcPr>
          <w:p>
            <w:pPr>
              <w:pStyle w:val="TableContents"/>
              <w:bidi w:val="0"/>
              <w:spacing w:before="0" w:after="0"/>
              <w:jc w:val="left"/>
              <w:rPr/>
            </w:pPr>
            <w:hyperlink w:anchor="tx155546_2">
              <w:r>
                <w:rPr>
                  <w:rStyle w:val="InternetLink"/>
                  <w:rFonts w:ascii="Times New Roman" w:hAnsi="Times New Roman"/>
                  <w:sz w:val="20"/>
                </w:rPr>
                <w:t>RISK FACTORS</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6</w:t>
            </w:r>
          </w:p>
        </w:tc>
      </w:tr>
      <w:tr>
        <w:trPr/>
        <w:tc>
          <w:tcPr>
            <w:tcW w:w="9337" w:type="dxa"/>
            <w:tcBorders/>
            <w:vAlign w:val="bottom"/>
          </w:tcPr>
          <w:p>
            <w:pPr>
              <w:pStyle w:val="TableContents"/>
              <w:bidi w:val="0"/>
              <w:spacing w:before="0" w:after="0"/>
              <w:jc w:val="left"/>
              <w:rPr/>
            </w:pPr>
            <w:hyperlink w:anchor="tx155546_3">
              <w:r>
                <w:rPr>
                  <w:rStyle w:val="InternetLink"/>
                  <w:rFonts w:ascii="Times New Roman" w:hAnsi="Times New Roman"/>
                  <w:sz w:val="20"/>
                </w:rPr>
                <w:t>SPECIAL NOTE REGARDING FORWARD-LOOKING STATEMENTS</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7</w:t>
            </w:r>
          </w:p>
        </w:tc>
      </w:tr>
      <w:tr>
        <w:trPr/>
        <w:tc>
          <w:tcPr>
            <w:tcW w:w="9337" w:type="dxa"/>
            <w:tcBorders/>
            <w:vAlign w:val="bottom"/>
          </w:tcPr>
          <w:p>
            <w:pPr>
              <w:pStyle w:val="TableContents"/>
              <w:bidi w:val="0"/>
              <w:spacing w:before="0" w:after="0"/>
              <w:jc w:val="left"/>
              <w:rPr/>
            </w:pPr>
            <w:hyperlink w:anchor="tx155546_4">
              <w:r>
                <w:rPr>
                  <w:rStyle w:val="InternetLink"/>
                  <w:rFonts w:ascii="Times New Roman" w:hAnsi="Times New Roman"/>
                  <w:sz w:val="20"/>
                </w:rPr>
                <w:t>USE OF PROCEEDS</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9</w:t>
            </w:r>
          </w:p>
        </w:tc>
      </w:tr>
      <w:tr>
        <w:trPr/>
        <w:tc>
          <w:tcPr>
            <w:tcW w:w="9337" w:type="dxa"/>
            <w:tcBorders/>
            <w:vAlign w:val="bottom"/>
          </w:tcPr>
          <w:p>
            <w:pPr>
              <w:pStyle w:val="TableContents"/>
              <w:bidi w:val="0"/>
              <w:spacing w:before="0" w:after="0"/>
              <w:jc w:val="left"/>
              <w:rPr/>
            </w:pPr>
            <w:hyperlink w:anchor="tx155546_5">
              <w:r>
                <w:rPr>
                  <w:rStyle w:val="InternetLink"/>
                  <w:rFonts w:ascii="Times New Roman" w:hAnsi="Times New Roman"/>
                  <w:sz w:val="20"/>
                </w:rPr>
                <w:t>SELLING STOCKHOLDERS</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10</w:t>
            </w:r>
          </w:p>
        </w:tc>
      </w:tr>
      <w:tr>
        <w:trPr/>
        <w:tc>
          <w:tcPr>
            <w:tcW w:w="9337" w:type="dxa"/>
            <w:tcBorders/>
            <w:vAlign w:val="bottom"/>
          </w:tcPr>
          <w:p>
            <w:pPr>
              <w:pStyle w:val="TableContents"/>
              <w:bidi w:val="0"/>
              <w:spacing w:before="0" w:after="0"/>
              <w:jc w:val="left"/>
              <w:rPr/>
            </w:pPr>
            <w:hyperlink w:anchor="tx155546_6">
              <w:r>
                <w:rPr>
                  <w:rStyle w:val="InternetLink"/>
                  <w:rFonts w:ascii="Times New Roman" w:hAnsi="Times New Roman"/>
                  <w:sz w:val="20"/>
                </w:rPr>
                <w:t>PLAN OF DISTRIBUTION</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15</w:t>
            </w:r>
          </w:p>
        </w:tc>
      </w:tr>
      <w:tr>
        <w:trPr/>
        <w:tc>
          <w:tcPr>
            <w:tcW w:w="9337" w:type="dxa"/>
            <w:tcBorders/>
            <w:vAlign w:val="bottom"/>
          </w:tcPr>
          <w:p>
            <w:pPr>
              <w:pStyle w:val="TableContents"/>
              <w:bidi w:val="0"/>
              <w:spacing w:before="0" w:after="0"/>
              <w:jc w:val="left"/>
              <w:rPr/>
            </w:pPr>
            <w:hyperlink w:anchor="tx155546_7">
              <w:r>
                <w:rPr>
                  <w:rStyle w:val="InternetLink"/>
                  <w:rFonts w:ascii="Times New Roman" w:hAnsi="Times New Roman"/>
                  <w:sz w:val="20"/>
                </w:rPr>
                <w:t>LEGAL MATTERS</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17</w:t>
            </w:r>
          </w:p>
        </w:tc>
      </w:tr>
      <w:tr>
        <w:trPr/>
        <w:tc>
          <w:tcPr>
            <w:tcW w:w="9337" w:type="dxa"/>
            <w:tcBorders/>
            <w:vAlign w:val="bottom"/>
          </w:tcPr>
          <w:p>
            <w:pPr>
              <w:pStyle w:val="TableContents"/>
              <w:bidi w:val="0"/>
              <w:spacing w:before="0" w:after="0"/>
              <w:jc w:val="left"/>
              <w:rPr/>
            </w:pPr>
            <w:hyperlink w:anchor="tx155546_8">
              <w:r>
                <w:rPr>
                  <w:rStyle w:val="InternetLink"/>
                  <w:rFonts w:ascii="Times New Roman" w:hAnsi="Times New Roman"/>
                  <w:sz w:val="20"/>
                </w:rPr>
                <w:t>EXPERTS</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17</w:t>
            </w:r>
          </w:p>
        </w:tc>
      </w:tr>
      <w:tr>
        <w:trPr/>
        <w:tc>
          <w:tcPr>
            <w:tcW w:w="9337" w:type="dxa"/>
            <w:tcBorders/>
            <w:vAlign w:val="bottom"/>
          </w:tcPr>
          <w:p>
            <w:pPr>
              <w:pStyle w:val="TableContents"/>
              <w:bidi w:val="0"/>
              <w:spacing w:before="0" w:after="0"/>
              <w:jc w:val="left"/>
              <w:rPr/>
            </w:pPr>
            <w:hyperlink w:anchor="tx155546_9">
              <w:r>
                <w:rPr>
                  <w:rStyle w:val="InternetLink"/>
                  <w:rFonts w:ascii="Times New Roman" w:hAnsi="Times New Roman"/>
                  <w:sz w:val="20"/>
                </w:rPr>
                <w:t>WHERE YOU CAN FIND ADDITIONAL INFORMATION</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17</w:t>
            </w:r>
          </w:p>
        </w:tc>
      </w:tr>
      <w:tr>
        <w:trPr/>
        <w:tc>
          <w:tcPr>
            <w:tcW w:w="9337" w:type="dxa"/>
            <w:tcBorders/>
            <w:vAlign w:val="bottom"/>
          </w:tcPr>
          <w:p>
            <w:pPr>
              <w:pStyle w:val="TableContents"/>
              <w:bidi w:val="0"/>
              <w:spacing w:before="0" w:after="0"/>
              <w:jc w:val="left"/>
              <w:rPr/>
            </w:pPr>
            <w:hyperlink w:anchor="tx155546_10">
              <w:r>
                <w:rPr>
                  <w:rStyle w:val="InternetLink"/>
                  <w:rFonts w:ascii="Times New Roman" w:hAnsi="Times New Roman"/>
                  <w:sz w:val="20"/>
                </w:rPr>
                <w:t>INCORPORATION OF CERTAIN INFORMATION BY REFERENCE</w:t>
              </w:r>
            </w:hyperlink>
          </w:p>
        </w:tc>
        <w:tc>
          <w:tcPr>
            <w:tcW w:w="336"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pPr>
            <w:r>
              <w:rPr/>
              <w:t>18</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both"/>
        <w:rPr>
          <w:rFonts w:ascii="Times New Roman" w:hAnsi="Times New Roman"/>
          <w:sz w:val="20"/>
        </w:rPr>
      </w:pPr>
      <w:r>
        <w:rPr>
          <w:rFonts w:ascii="Times New Roman" w:hAnsi="Times New Roman"/>
          <w:sz w:val="20"/>
        </w:rPr>
        <w:t>We urge you to read carefully this prospectus, together with the information incorporated herein by reference as described under the heading “</w:t>
      </w:r>
      <w:r>
        <w:rPr>
          <w:rFonts w:ascii="Times New Roman" w:hAnsi="Times New Roman"/>
          <w:i/>
          <w:sz w:val="20"/>
        </w:rPr>
        <w:t>Where You Can Find Additional Information</w:t>
      </w:r>
      <w:r>
        <w:rPr>
          <w:rFonts w:ascii="Times New Roman" w:hAnsi="Times New Roman"/>
          <w:sz w:val="20"/>
        </w:rPr>
        <w:t xml:space="preserve">,” before buying any of the securities being offered. </w:t>
      </w:r>
    </w:p>
    <w:p>
      <w:pPr>
        <w:pStyle w:val="TextBody"/>
        <w:bidi w:val="0"/>
        <w:spacing w:before="240" w:after="0"/>
        <w:jc w:val="both"/>
        <w:rPr>
          <w:rFonts w:ascii="Times New Roman" w:hAnsi="Times New Roman"/>
          <w:sz w:val="20"/>
        </w:rPr>
      </w:pPr>
      <w:r>
        <w:rPr>
          <w:rFonts w:ascii="Times New Roman" w:hAnsi="Times New Roman"/>
          <w:sz w:val="20"/>
        </w:rPr>
        <w:t xml:space="preserve">You should rely only on the information contained or incorporated by reference in this prospectus. We and the selling stockholders have not authorized any other person to provide you with different information. If anyone provides you with different or inconsistent information, you should not rely on it. This prospectus may only be used where it is legal to offer and sell shares of our common stock. If it is against the law in any jurisdiction to make an offer to sell these shares, or to solicit an offer from someone to buy these shares, then this prospectus does not apply to any person in that jurisdiction, and no offer or solicitation is made by this prospectus to any such person. You should assume that the information appearing in this prospectus is accurate only as of the date on the front cover of this prospectus, regardless of the time of delivery of this prospectus or of any sale of common stock. Our business, financial condition, results of operations and prospects may have changed since such date. Information contained on our website is not a part of this prospectus. </w:t>
      </w:r>
    </w:p>
    <w:p>
      <w:pPr>
        <w:pStyle w:val="TextBody"/>
        <w:bidi w:val="0"/>
        <w:spacing w:before="240" w:after="0"/>
        <w:jc w:val="both"/>
        <w:rPr>
          <w:rFonts w:ascii="Times New Roman" w:hAnsi="Times New Roman"/>
          <w:sz w:val="20"/>
        </w:rPr>
      </w:pPr>
      <w:r>
        <w:rPr>
          <w:rFonts w:ascii="Times New Roman" w:hAnsi="Times New Roman"/>
          <w:sz w:val="20"/>
        </w:rPr>
        <w:t>A prospectus supplement may add to, update or change the information contained in this prospectus. You should read both this prospectus and any applicable prospectus supplement together with additional information described below under the heading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references to trademarks belonging to other entities. Solely for convenience, trademarks and trade names referred to in this prospectus, including logos, artwork and other visual displays,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or trademarks to imply a relationship with, or endorsement or sponsorship of us by, any other companies.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155546_1"/>
      <w:bookmarkEnd w:id="3"/>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features of this offering and the information contained elsewhere in or incorporated by reference into this prospectus. Because this is only a summary, it does not contain all of the information that you should consider before investing in our securities. You should carefully read this entire prospectus and any applicable prospectus supplement, including the information contained under the heading “Risk Factors,” and all other information included or incorporated by reference into this prospectus and any applicable prospectus supplement in their entirety before you invest in our securities.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all references in this prospectus to “we,” “us,” “our,” “Whitehawk,” the “Company” and similar designations refer to Whitehawk Therapeutics, Inc., together with its consolidated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oncology therapeutics company applying advanced technologies to established tumor biology that are intended to efficiently deliver improved cancer treatments. We have deep experience in chemistry, formulation, and drug delivery, as well as research, clinical, and commercial pharmaceutical development, resulting in successfully taking product candidates from the clinic to approval, launch, and commercialization.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In December 2024, we entered into an intellectual property license agreement (the “</w:t>
      </w:r>
      <w:r>
        <w:rPr>
          <w:rFonts w:ascii="Times New Roman" w:hAnsi="Times New Roman"/>
          <w:b/>
          <w:sz w:val="20"/>
          <w:bdr w:val="single" w:sz="8" w:space="1" w:color="000000"/>
        </w:rPr>
        <w:t>WuXi License Agreement</w:t>
      </w:r>
      <w:r>
        <w:rPr>
          <w:rFonts w:ascii="Times New Roman" w:hAnsi="Times New Roman"/>
          <w:sz w:val="20"/>
          <w:bdr w:val="single" w:sz="8" w:space="1" w:color="000000"/>
        </w:rPr>
        <w:t>”) with WuXi Biologics (Shanghai FX) Co., Ltd. (“</w:t>
      </w:r>
      <w:r>
        <w:rPr>
          <w:rFonts w:ascii="Times New Roman" w:hAnsi="Times New Roman"/>
          <w:b/>
          <w:sz w:val="20"/>
          <w:bdr w:val="single" w:sz="8" w:space="1" w:color="000000"/>
        </w:rPr>
        <w:t>WuXi Biologics</w:t>
      </w:r>
      <w:r>
        <w:rPr>
          <w:rFonts w:ascii="Times New Roman" w:hAnsi="Times New Roman"/>
          <w:sz w:val="20"/>
          <w:bdr w:val="single" w:sz="8" w:space="1" w:color="000000"/>
        </w:rPr>
        <w:t>”) for the development and global commercialization of a portfolio of three next generation antibody drug conjugates (“</w:t>
      </w:r>
      <w:r>
        <w:rPr>
          <w:rFonts w:ascii="Times New Roman" w:hAnsi="Times New Roman"/>
          <w:b/>
          <w:sz w:val="20"/>
          <w:bdr w:val="single" w:sz="8" w:space="1" w:color="000000"/>
        </w:rPr>
        <w:t>ADCs</w:t>
      </w:r>
      <w:r>
        <w:rPr>
          <w:rFonts w:ascii="Times New Roman" w:hAnsi="Times New Roman"/>
          <w:sz w:val="20"/>
          <w:bdr w:val="single" w:sz="8" w:space="1" w:color="000000"/>
        </w:rPr>
        <w:t>”) targeting clinically validated, broadly overexpressed tumor antigens in high potential cancer indications with significant unmet need. These ADCs are constructed utilizing an advanced linker-payload platform called CPT113 that has been shown to provide increased stability in blood circulation and deliver targeted release of a Topoisomerase I (“</w:t>
      </w:r>
      <w:r>
        <w:rPr>
          <w:rFonts w:ascii="Times New Roman" w:hAnsi="Times New Roman"/>
          <w:b/>
          <w:sz w:val="20"/>
          <w:bdr w:val="single" w:sz="8" w:space="1" w:color="000000"/>
        </w:rPr>
        <w:t>TOPO1</w:t>
      </w:r>
      <w:r>
        <w:rPr>
          <w:rFonts w:ascii="Times New Roman" w:hAnsi="Times New Roman"/>
          <w:sz w:val="20"/>
          <w:bdr w:val="single" w:sz="8" w:space="1" w:color="000000"/>
        </w:rPr>
        <w:t xml:space="preserve">”) inhibitor payload into cancer cells.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These in-licensed assets originated through the collaborative efforts of WuXi Biologics, a leading global contract research, development and manufacturing organization (“</w:t>
      </w:r>
      <w:r>
        <w:rPr>
          <w:rFonts w:ascii="Times New Roman" w:hAnsi="Times New Roman"/>
          <w:b/>
          <w:sz w:val="20"/>
          <w:bdr w:val="single" w:sz="8" w:space="1" w:color="000000"/>
        </w:rPr>
        <w:t>CRDMO</w:t>
      </w:r>
      <w:r>
        <w:rPr>
          <w:rFonts w:ascii="Times New Roman" w:hAnsi="Times New Roman"/>
          <w:sz w:val="20"/>
          <w:bdr w:val="single" w:sz="8" w:space="1" w:color="000000"/>
        </w:rPr>
        <w:t>”), and Hangzhou DAC Biotechnology (“</w:t>
      </w:r>
      <w:r>
        <w:rPr>
          <w:rFonts w:ascii="Times New Roman" w:hAnsi="Times New Roman"/>
          <w:b/>
          <w:sz w:val="20"/>
          <w:bdr w:val="single" w:sz="8" w:space="1" w:color="000000"/>
        </w:rPr>
        <w:t>Hangzhou DAC</w:t>
      </w:r>
      <w:r>
        <w:rPr>
          <w:rFonts w:ascii="Times New Roman" w:hAnsi="Times New Roman"/>
          <w:sz w:val="20"/>
          <w:bdr w:val="single" w:sz="8" w:space="1" w:color="000000"/>
        </w:rPr>
        <w:t>”), a global leader in ADC innovation, where Hangzhou DAC’s CPT113 linker-payload has been conjugated to novel antibodies developed by WuXi Biologics against three tumor targets: Protein Tyrosine Kinase 7 (“</w:t>
      </w:r>
      <w:r>
        <w:rPr>
          <w:rFonts w:ascii="Times New Roman" w:hAnsi="Times New Roman"/>
          <w:b/>
          <w:sz w:val="20"/>
          <w:bdr w:val="single" w:sz="8" w:space="1" w:color="000000"/>
        </w:rPr>
        <w:t>PTK7</w:t>
      </w:r>
      <w:r>
        <w:rPr>
          <w:rFonts w:ascii="Times New Roman" w:hAnsi="Times New Roman"/>
          <w:sz w:val="20"/>
          <w:bdr w:val="single" w:sz="8" w:space="1" w:color="000000"/>
        </w:rPr>
        <w:t>”), Mucin 16 (“</w:t>
      </w:r>
      <w:r>
        <w:rPr>
          <w:rFonts w:ascii="Times New Roman" w:hAnsi="Times New Roman"/>
          <w:b/>
          <w:sz w:val="20"/>
          <w:bdr w:val="single" w:sz="8" w:space="1" w:color="000000"/>
        </w:rPr>
        <w:t>MUC16</w:t>
      </w:r>
      <w:r>
        <w:rPr>
          <w:rFonts w:ascii="Times New Roman" w:hAnsi="Times New Roman"/>
          <w:sz w:val="20"/>
          <w:bdr w:val="single" w:sz="8" w:space="1" w:color="000000"/>
        </w:rPr>
        <w:t>”) and Seizure-related Protein 6 (“</w:t>
      </w:r>
      <w:r>
        <w:rPr>
          <w:rFonts w:ascii="Times New Roman" w:hAnsi="Times New Roman"/>
          <w:b/>
          <w:sz w:val="20"/>
          <w:bdr w:val="single" w:sz="8" w:space="1" w:color="000000"/>
        </w:rPr>
        <w:t>SEZ6</w:t>
      </w:r>
      <w:r>
        <w:rPr>
          <w:rFonts w:ascii="Times New Roman" w:hAnsi="Times New Roman"/>
          <w:sz w:val="20"/>
          <w:bdr w:val="single" w:sz="8" w:space="1" w:color="000000"/>
        </w:rPr>
        <w:t>”). The antibody targeting MUC16 targets the membrane-bound form of MUC16 (mMUC16). The antibody targeting SEZ6 is a biparatopic SEZ6 (“</w:t>
      </w:r>
      <w:r>
        <w:rPr>
          <w:rFonts w:ascii="Times New Roman" w:hAnsi="Times New Roman"/>
          <w:b/>
          <w:sz w:val="20"/>
          <w:bdr w:val="single" w:sz="8" w:space="1" w:color="000000"/>
        </w:rPr>
        <w:t>biSEZ6</w:t>
      </w:r>
      <w:r>
        <w:rPr>
          <w:rFonts w:ascii="Times New Roman" w:hAnsi="Times New Roman"/>
          <w:sz w:val="20"/>
          <w:bdr w:val="single" w:sz="8" w:space="1" w:color="000000"/>
        </w:rPr>
        <w:t xml:space="preserve">”) antibody targeting two different epitopes on SEZ6. We believe the resulting ADCs will be able to target cancers expressing these respective tumor markers precisely and deliver the potent, cytotoxic TOPO1 inhibitor at the site of cancer. Each of these ADCs have demonstrated tumor cell binding, tumor cell line cytotoxicity, and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antitumor activity in preclinical models of cancer. We refer to these in-licensed ADC assets as the “ADC Therapies” herein.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We submitted investigational new drug (“</w:t>
      </w:r>
      <w:r>
        <w:rPr>
          <w:rFonts w:ascii="Times New Roman" w:hAnsi="Times New Roman"/>
          <w:b/>
          <w:sz w:val="20"/>
          <w:bdr w:val="single" w:sz="8" w:space="1" w:color="000000"/>
        </w:rPr>
        <w:t>IND</w:t>
      </w:r>
      <w:r>
        <w:rPr>
          <w:rFonts w:ascii="Times New Roman" w:hAnsi="Times New Roman"/>
          <w:sz w:val="20"/>
          <w:bdr w:val="single" w:sz="8" w:space="1" w:color="000000"/>
        </w:rPr>
        <w:t>”) applications with the U.S. Food and Drug Administration (“</w:t>
      </w:r>
      <w:r>
        <w:rPr>
          <w:rFonts w:ascii="Times New Roman" w:hAnsi="Times New Roman"/>
          <w:b/>
          <w:sz w:val="20"/>
          <w:bdr w:val="single" w:sz="8" w:space="1" w:color="000000"/>
        </w:rPr>
        <w:t>FDA</w:t>
      </w:r>
      <w:r>
        <w:rPr>
          <w:rFonts w:ascii="Times New Roman" w:hAnsi="Times New Roman"/>
          <w:sz w:val="20"/>
          <w:bdr w:val="single" w:sz="8" w:space="1" w:color="000000"/>
        </w:rPr>
        <w:t>”) for HWK-007 for the treatment of solid tumors, including non-small cell lung cancer (“</w:t>
      </w:r>
      <w:r>
        <w:rPr>
          <w:rFonts w:ascii="Times New Roman" w:hAnsi="Times New Roman"/>
          <w:b/>
          <w:sz w:val="20"/>
          <w:bdr w:val="single" w:sz="8" w:space="1" w:color="000000"/>
        </w:rPr>
        <w:t>NSCLC</w:t>
      </w:r>
      <w:r>
        <w:rPr>
          <w:rFonts w:ascii="Times New Roman" w:hAnsi="Times New Roman"/>
          <w:sz w:val="20"/>
          <w:bdr w:val="single" w:sz="8" w:space="1" w:color="000000"/>
        </w:rPr>
        <w:t>”) and ovarian cancer, and HWK-016 for the treatment of ovarian and endometrial cancers, in the fourth quarter of 2025; and we anticipate submitting an IND for HWK-206 for the treatment of small cell lung cancer (“</w:t>
      </w:r>
      <w:r>
        <w:rPr>
          <w:rFonts w:ascii="Times New Roman" w:hAnsi="Times New Roman"/>
          <w:b/>
          <w:sz w:val="20"/>
          <w:bdr w:val="single" w:sz="8" w:space="1" w:color="000000"/>
        </w:rPr>
        <w:t>SCLC</w:t>
      </w:r>
      <w:r>
        <w:rPr>
          <w:rFonts w:ascii="Times New Roman" w:hAnsi="Times New Roman"/>
          <w:sz w:val="20"/>
          <w:bdr w:val="single" w:sz="8" w:space="1" w:color="000000"/>
        </w:rPr>
        <w:t>”) and neuroendocrine tumors (“</w:t>
      </w:r>
      <w:r>
        <w:rPr>
          <w:rFonts w:ascii="Times New Roman" w:hAnsi="Times New Roman"/>
          <w:b/>
          <w:sz w:val="20"/>
          <w:bdr w:val="single" w:sz="8" w:space="1" w:color="000000"/>
        </w:rPr>
        <w:t>NETs</w:t>
      </w:r>
      <w:r>
        <w:rPr>
          <w:rFonts w:ascii="Times New Roman" w:hAnsi="Times New Roman"/>
          <w:sz w:val="20"/>
          <w:bdr w:val="single" w:sz="8" w:space="1" w:color="000000"/>
        </w:rPr>
        <w:t xml:space="preserve">”) in mid-2026. The FDA has cleared the IND applications for HWK-007 and HWK-016 and the Phase 1 trials for each asset are now actively recruiting. We expect data readouts in the first half of 2027 from each trial. With these three assets, we have the ability to pursue multiple cancer indications with high potential in large addressable patient populations, including and beyond those indications currently expected to be targeted in the upcoming Phase 1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Our track record of strong execution of novel drug formulation, research, clinical development, and commercialization in precision oncology, combined with our deep understanding of ADCs positions us to unlock the high potential of this differentiated ADC portfolio. 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Furthermore, our investor base includes top life science investors. We believe that our team is well positioned to execute our strategy to develop and, if approved, commercialize the ADC Therapies and future pipeline assets to ultimately bring broad benefit to cancer patients worldwide.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Legacy FYARRO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Historically, our lead drug product was FYARRO® (sirolimus protein-bound particles for injectable suspension (albumin-bound); nab-sirolimus), which combines two established technologies: nanoparticle albumin-bound (nab) technology and the anti-cancer agent, sirolimus. Nab-sirolimus is a potent inhibitor of the mTOR biological pathway with demonstrated anti-cancer activity in advanced malignant perivascular epithelioid cell tumor (“</w:t>
      </w:r>
      <w:r>
        <w:rPr>
          <w:rFonts w:ascii="Times New Roman" w:hAnsi="Times New Roman"/>
          <w:b/>
          <w:sz w:val="20"/>
          <w:bdr w:val="single" w:sz="8" w:space="1" w:color="000000"/>
        </w:rPr>
        <w:t>PEComa</w:t>
      </w:r>
      <w:r>
        <w:rPr>
          <w:rFonts w:ascii="Times New Roman" w:hAnsi="Times New Roman"/>
          <w:sz w:val="20"/>
          <w:bdr w:val="single" w:sz="8" w:space="1" w:color="000000"/>
        </w:rPr>
        <w:t xml:space="preserve">”), a rare cancer. We exclusively licensed FYARRO, previously called ABI-009, nab-sirolimus, from Abraxis BioScience, LLC, a wholly owned subsidiary of Celgene Corporation, which is a wholly owned subsidiary of Bristol-Myers Squibb Company (“BMS”) and we refer to the development, production and commercial sale of FYARRO herein as the “FYARRO Business.” On February 22, 2022, we launched FYARRO in the United States for treatment of advanced malignant PEComa and recognized net product sales of $26.0 million and $24.4 million for the years ended December 31, 2024 and 2023, respectively.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On December 19, 2024, we entered into a Stock Purchase Agreement (the “</w:t>
      </w:r>
      <w:r>
        <w:rPr>
          <w:rFonts w:ascii="Times New Roman" w:hAnsi="Times New Roman"/>
          <w:b/>
          <w:sz w:val="20"/>
          <w:bdr w:val="single" w:sz="8" w:space="1" w:color="000000"/>
        </w:rPr>
        <w:t>Divestiture Agreement</w:t>
      </w:r>
      <w:r>
        <w:rPr>
          <w:rFonts w:ascii="Times New Roman" w:hAnsi="Times New Roman"/>
          <w:sz w:val="20"/>
          <w:bdr w:val="single" w:sz="8" w:space="1" w:color="000000"/>
        </w:rPr>
        <w:t>”) with KAKEN INVESTMENTS INC., a Delaware corporation (“</w:t>
      </w:r>
      <w:r>
        <w:rPr>
          <w:rFonts w:ascii="Times New Roman" w:hAnsi="Times New Roman"/>
          <w:b/>
          <w:sz w:val="20"/>
          <w:bdr w:val="single" w:sz="8" w:space="1" w:color="000000"/>
        </w:rPr>
        <w:t>Kaken</w:t>
      </w:r>
      <w:r>
        <w:rPr>
          <w:rFonts w:ascii="Times New Roman" w:hAnsi="Times New Roman"/>
          <w:sz w:val="20"/>
          <w:bdr w:val="single" w:sz="8" w:space="1" w:color="000000"/>
        </w:rPr>
        <w:t>”), KAKEN PHARMACEUTICAL CO., LTD (“</w:t>
      </w:r>
      <w:r>
        <w:rPr>
          <w:rFonts w:ascii="Times New Roman" w:hAnsi="Times New Roman"/>
          <w:b/>
          <w:sz w:val="20"/>
          <w:bdr w:val="single" w:sz="8" w:space="1" w:color="000000"/>
        </w:rPr>
        <w:t>Guarantor</w:t>
      </w:r>
      <w:r>
        <w:rPr>
          <w:rFonts w:ascii="Times New Roman" w:hAnsi="Times New Roman"/>
          <w:sz w:val="20"/>
          <w:bdr w:val="single" w:sz="8" w:space="1" w:color="000000"/>
        </w:rPr>
        <w:t>”), and Aadi Subsidiary, Inc., a Delaware corporation and our former wholly owned subsidiary and the operating company for the FYARRO Business (“</w:t>
      </w:r>
      <w:r>
        <w:rPr>
          <w:rFonts w:ascii="Times New Roman" w:hAnsi="Times New Roman"/>
          <w:b/>
          <w:sz w:val="20"/>
          <w:bdr w:val="single" w:sz="8" w:space="1" w:color="000000"/>
        </w:rPr>
        <w:t>Aadi Subsidiary</w:t>
      </w:r>
      <w:r>
        <w:rPr>
          <w:rFonts w:ascii="Times New Roman" w:hAnsi="Times New Roman"/>
          <w:sz w:val="20"/>
          <w:bdr w:val="single" w:sz="8" w:space="1" w:color="000000"/>
        </w:rPr>
        <w:t>”). Under the Divestiture Agreement, Kaken acquired 100% of the outstanding shares of capital stock of Aadi Subsidiary from us at the closing of the transaction for a cash payment of $102.4 million (following applicable purchase price adjustments under the Divestiture Agreement) (the “</w:t>
      </w:r>
      <w:r>
        <w:rPr>
          <w:rFonts w:ascii="Times New Roman" w:hAnsi="Times New Roman"/>
          <w:b/>
          <w:sz w:val="20"/>
          <w:bdr w:val="single" w:sz="8" w:space="1" w:color="000000"/>
        </w:rPr>
        <w:t>FYARRO Divestiture</w:t>
      </w:r>
      <w:r>
        <w:rPr>
          <w:rFonts w:ascii="Times New Roman" w:hAnsi="Times New Roman"/>
          <w:sz w:val="20"/>
          <w:bdr w:val="single" w:sz="8" w:space="1" w:color="000000"/>
        </w:rPr>
        <w:t xml:space="preserve">”). The divestiture transaction closed on March 25, 2025 and, as a result, we no longer operate the FYARRO Business.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We were originally incorporated in the State of Delaware in November 2007 under the name “Zeta Acquisition Corp. II.” Zeta Acquisition Corp. II was a “shell” company registered under the Exchange Act with no specific business plan or purpose until it began operating the business of Aerpio Pharmaceuticals, Inc. through a merger in March 2017. In August 2021, we effected a reverse merger pursuant to which a wholly owned subsidiary of ours, merged with and into Aadi Subsidiary, Inc. (formerly known as Aadi Bioscience, Inc.) (“</w:t>
      </w:r>
      <w:r>
        <w:rPr>
          <w:rFonts w:ascii="Times New Roman" w:hAnsi="Times New Roman"/>
          <w:b/>
          <w:sz w:val="20"/>
          <w:bdr w:val="single" w:sz="8" w:space="1" w:color="000000"/>
        </w:rPr>
        <w:t>Aadi Subsidiary</w:t>
      </w:r>
      <w:r>
        <w:rPr>
          <w:rFonts w:ascii="Times New Roman" w:hAnsi="Times New Roman"/>
          <w:sz w:val="20"/>
          <w:bdr w:val="single" w:sz="8" w:space="1" w:color="000000"/>
        </w:rPr>
        <w:t>”), with Aadi Subsidiary surviving as a wholly owned subsidiary of ours (the “</w:t>
      </w:r>
      <w:r>
        <w:rPr>
          <w:rFonts w:ascii="Times New Roman" w:hAnsi="Times New Roman"/>
          <w:b/>
          <w:sz w:val="20"/>
          <w:bdr w:val="single" w:sz="8" w:space="1" w:color="000000"/>
        </w:rPr>
        <w:t>Merger</w:t>
      </w:r>
      <w:r>
        <w:rPr>
          <w:rFonts w:ascii="Times New Roman" w:hAnsi="Times New Roman"/>
          <w:sz w:val="20"/>
          <w:bdr w:val="single" w:sz="8" w:space="1" w:color="000000"/>
        </w:rPr>
        <w:t xml:space="preserve">”). Upon the closing of the Merger, we changed our name from “Aerpio Pharmaceuticals, Inc.” to “Aadi Bioscience, Inc.” and the name of Private Aadi was changed from “Aadi Bioscience, Inc.” to “Aadi Subsidiary, Inc.” In connection with the FYARRO Divestiture, Kaken acquired 100% of the outstanding shares of capital stock of Aadi Subsidiary. On March 18, 2025, in connection with such transaction, we changed our name from “Aadi Bioscience, Inc.” to “Whitehawk Therapeutics, Inc.”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Since March 2025, our principal executive offices have been located at 2 Headquarters Plaza, East Building, 11th Floor, Morristown, NJ 07960. Prior to March 2025, our principal executive offices were located at 17383 Sunset Boulevard, Suite A250, Pacific Palisades, California 90272. We maintain a website at www.whitehawktx.com, to which we regularly post copies of our press releases as well as additional information about us. Our filings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the Securities and Exchange Commission (the “</w:t>
      </w:r>
      <w:r>
        <w:rPr>
          <w:rFonts w:ascii="Times New Roman" w:hAnsi="Times New Roman"/>
          <w:b/>
          <w:sz w:val="20"/>
          <w:bdr w:val="single" w:sz="8" w:space="1" w:color="000000"/>
        </w:rPr>
        <w:t>SEC</w:t>
      </w:r>
      <w:r>
        <w:rPr>
          <w:rFonts w:ascii="Times New Roman" w:hAnsi="Times New Roman"/>
          <w:sz w:val="20"/>
          <w:bdr w:val="single" w:sz="8" w:space="1" w:color="000000"/>
        </w:rPr>
        <w:t xml:space="preserve">”) will be available free of charge through the website as soon as reasonably practicable after being electronically filed with or furnished to the SEC. Information contained in our website does not constitute a part of this prospectus or any of our other filings with the SEC unless specifically incorporated herein by reference. In addition, our filings with the SEC may be accessed through the SEC’s Electronic Data Gathering, Analysis, and Retrieval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On May 12, 2026, we entered into the Purchase Agreement with the selling stockholders named in this prospectus. At the closing of the Private Placement on May 14, 2026, we sold and issued to certain of the selling stockholders (i) 4,330,866 shares of our common stock at a purchase price of $3.92 per share and (ii) 17,991,021 shares of our common stock issuable upon the exercise of outstanding pre-funded warrants to purchase shares of our common stock at a purchase price of $3.9199 per share and an exercise price of $0.0001 per share. The total purchase price paid by the selling stockholders in the Private Placement was approximately $87.5 million.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closing of the Private Placement, we entered into the Registration Rights Agreement with the selling stockholders. Under the terms of the Registration Rights Agreement, we agreed to prepare and file on or prior to thirty (30) days following the closing of the Private Placement, one or more registration statements with the SEC to register the Shares for resale, and to use commercially reasonable efforts to cause such registration statement to become effective within 60 calendar days of the closing of the Private Placement (or within 90 calendar days if the SEC reviews the registration statement), subject to acceleration under certain circumstances.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The offer and sale of the securities in the Private Placement were not registered under the Securities Act of 1933, as amended (the “</w:t>
      </w:r>
      <w:r>
        <w:rPr>
          <w:rFonts w:ascii="Times New Roman" w:hAnsi="Times New Roman"/>
          <w:b/>
          <w:sz w:val="20"/>
          <w:bdr w:val="single" w:sz="8" w:space="1" w:color="000000"/>
        </w:rPr>
        <w:t>Securities Act</w:t>
      </w:r>
      <w:r>
        <w:rPr>
          <w:rFonts w:ascii="Times New Roman" w:hAnsi="Times New Roman"/>
          <w:sz w:val="20"/>
          <w:bdr w:val="single" w:sz="8" w:space="1" w:color="000000"/>
        </w:rPr>
        <w:t xml:space="preserve">”), or any state securities laws. We relied on an exemption from the registration requirements of the Securities Act provided by Section 4(a)(2) thereof. Each of the selling stockholders has represented to us that such selling stockholder is an “accredited investor,” as defined in Regulation D of the Securities Act, and that the securities purchased by such selling stockholder were being acquired solely for such selling stockholder’s own account and for investment purposes and not with a view to its future sale or distribution.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The description of the Purchase Agreement and the Registration Rights Agreement are not complete and are qualified in their entirety by reference to the Purchase Agreement and the Form of Registration Rights Agreement, which were filed as exhibits to our Current Report on Form 8-K, filed on May 13, 2026. See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and “</w:t>
      </w:r>
      <w:r>
        <w:rPr>
          <w:rFonts w:ascii="Times New Roman" w:hAnsi="Times New Roman"/>
          <w:i/>
          <w:sz w:val="20"/>
          <w:bdr w:val="single" w:sz="8" w:space="1" w:color="000000"/>
        </w:rPr>
        <w:t>Information Incorporated by Reference</w:t>
      </w:r>
      <w:r>
        <w:rPr>
          <w:rFonts w:ascii="Times New Roman" w:hAnsi="Times New Roman"/>
          <w:sz w:val="20"/>
          <w:bdr w:val="single" w:sz="8" w:space="1" w:color="000000"/>
        </w:rPr>
        <w:t xml:space="preserve">.” The representations, warranties and covenants made by us in such agreements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promulgated under the Exchange Act. We may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reporting requirements and other burdens that are otherwise applicable generally to public companies. To the extent that we take advantage of these reduced burdens, the information that we provide stockholders may be different than you might obtain from other public companies in which you hold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registered for sale by selling stockholders </w:t>
            </w:r>
          </w:p>
        </w:tc>
        <w:tc>
          <w:tcPr>
            <w:tcW w:w="632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22,321,887 Shares, consisting of 4,330,866 outstanding shares of our common stock held by the selling stockholders and 17,991,021 shares of our common stock issuable upon the exercise of outstanding pre-funded warrants to purchase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We will not receive any proceeds from the sale of shares of common stock by the selling stockholders. Upon any exercise of the pre-funded warrants by payment of cash, however, we will receive the exercise price of such pre-funded warrants. See “</w:t>
            </w:r>
            <w:r>
              <w:rPr>
                <w:rFonts w:ascii="Times New Roman" w:hAnsi="Times New Roman"/>
                <w:i/>
                <w:sz w:val="20"/>
              </w:rPr>
              <w:t>Use of Proceeds</w:t>
            </w:r>
            <w:r>
              <w:rPr>
                <w:rFonts w:ascii="Times New Roman" w:hAnsi="Times New Roman"/>
                <w:sz w:val="20"/>
              </w:rPr>
              <w:t xml:space="preserve">”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30" w:type="dxa"/>
            <w:tcBorders/>
          </w:tcPr>
          <w:p>
            <w:pPr>
              <w:pStyle w:val="TableContents"/>
              <w:bidi w:val="0"/>
              <w:spacing w:before="0" w:after="0"/>
              <w:jc w:val="both"/>
              <w:rPr>
                <w:rFonts w:ascii="Times New Roman" w:hAnsi="Times New Roman"/>
                <w:sz w:val="20"/>
              </w:rPr>
            </w:pPr>
            <w:r>
              <w:rPr>
                <w:rFonts w:ascii="Times New Roman" w:hAnsi="Times New Roman"/>
                <w:sz w:val="20"/>
              </w:rPr>
              <w:t>The selling stockholders may sell all or a portion of their shares through public or private transactions at prevailing market prices or at privately negotiated prices. See “</w:t>
            </w:r>
            <w:r>
              <w:rPr>
                <w:rFonts w:ascii="Times New Roman" w:hAnsi="Times New Roman"/>
                <w:i/>
                <w:sz w:val="20"/>
              </w:rPr>
              <w:t>Plan of Distribution</w:t>
            </w:r>
            <w:r>
              <w:rPr>
                <w:rFonts w:ascii="Times New Roman" w:hAnsi="Times New Roman"/>
                <w:sz w:val="20"/>
              </w:rPr>
              <w:t xml:space="preserve">”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30" w:type="dxa"/>
            <w:tcBorders/>
          </w:tcPr>
          <w:p>
            <w:pPr>
              <w:pStyle w:val="TableContents"/>
              <w:bidi w:val="0"/>
              <w:spacing w:before="0" w:after="0"/>
              <w:jc w:val="both"/>
              <w:rPr>
                <w:rFonts w:ascii="Times New Roman" w:hAnsi="Times New Roman"/>
                <w:sz w:val="20"/>
              </w:rPr>
            </w:pPr>
            <w:r>
              <w:rPr>
                <w:rFonts w:ascii="Times New Roman" w:hAnsi="Times New Roman"/>
                <w:sz w:val="20"/>
              </w:rPr>
              <w:t>You should read the “</w:t>
            </w:r>
            <w:r>
              <w:rPr>
                <w:rFonts w:ascii="Times New Roman" w:hAnsi="Times New Roman"/>
                <w:i/>
                <w:sz w:val="20"/>
              </w:rPr>
              <w:t>Risk Factors</w:t>
            </w:r>
            <w:r>
              <w:rPr>
                <w:rFonts w:ascii="Times New Roman" w:hAnsi="Times New Roman"/>
                <w:sz w:val="20"/>
              </w:rPr>
              <w:t xml:space="preserve">” section included in or incorporated by reference in this prospectus for a discussion of factors to consider carefully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Capital Market symbol </w:t>
            </w:r>
          </w:p>
        </w:tc>
        <w:tc>
          <w:tcPr>
            <w:tcW w:w="6329" w:type="dxa"/>
            <w:tcBorders/>
          </w:tcPr>
          <w:p>
            <w:pPr>
              <w:pStyle w:val="TableContents"/>
              <w:bidi w:val="0"/>
              <w:spacing w:before="0" w:after="0"/>
              <w:jc w:val="both"/>
              <w:rPr/>
            </w:pPr>
            <w:r>
              <w:rPr/>
              <w:t>“</w:t>
            </w:r>
            <w:r>
              <w:rPr>
                <w:rFonts w:ascii="Times New Roman" w:hAnsi="Times New Roman"/>
                <w:sz w:val="20"/>
              </w:rPr>
              <w:t xml:space="preserve">WHWK”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55546_2"/>
      <w:bookmarkEnd w:id="4"/>
      <w:r>
        <w:rPr>
          <w:rFonts w:ascii="Times New Roman" w:hAnsi="Times New Roman"/>
          <w:b/>
          <w:sz w:val="20"/>
        </w:rPr>
        <w:t xml:space="preserve">RISK FACTORS </w:t>
      </w:r>
    </w:p>
    <w:p>
      <w:pPr>
        <w:pStyle w:val="TextBody"/>
        <w:bidi w:val="0"/>
        <w:spacing w:before="240" w:after="0"/>
        <w:jc w:val="both"/>
        <w:rPr>
          <w:rFonts w:ascii="Times New Roman" w:hAnsi="Times New Roman"/>
          <w:sz w:val="20"/>
        </w:rPr>
      </w:pPr>
      <w:r>
        <w:rPr>
          <w:rFonts w:ascii="Times New Roman" w:hAnsi="Times New Roman"/>
          <w:sz w:val="20"/>
        </w:rPr>
        <w:t>Investing in our common stock involves a high degree of risk. In addition to the risks and uncertainties discussed under “</w:t>
      </w:r>
      <w:r>
        <w:rPr>
          <w:rFonts w:ascii="Times New Roman" w:hAnsi="Times New Roman"/>
          <w:i/>
          <w:sz w:val="20"/>
        </w:rPr>
        <w:t>Special Note Regarding Forward-Looking Statements</w:t>
      </w:r>
      <w:r>
        <w:rPr>
          <w:rFonts w:ascii="Times New Roman" w:hAnsi="Times New Roman"/>
          <w:sz w:val="20"/>
        </w:rPr>
        <w:t xml:space="preserve">,” you should carefully consider the risks described in Part II, Item 1A, Risk Factors, in our Quarterly Report on Form 10-Q for the quarter ended March 31, 2026, together with the other information contained or incorporated by reference in this prospectus, as updated by our subsequent filings under the Exchange Act, and the risk factors and other information contained in any applicable prospectus supplement, before deciding whether to purchase any of the securities being registered pursuant to the registration statement of which this prospectus is a part. If any of these risks actually occur, it may materially harm our business, financial condition, liquidity and results of operations. As a result, the market price of our securities could decline, and you could lose all or part of your investment. The risks and uncertainties we describe in the documents incorporated by reference herein are not the only ones we face. Additional risks and uncertainties not presently known to us or that we currently believe are immaterial could materially adversely affect our business, operating results and financial condition, as well as adversely affect the value of an investment in our securities, and the occurrence of any of these risks might cause you to lose all or part of your investment. </w:t>
      </w:r>
    </w:p>
    <w:p>
      <w:pPr>
        <w:pStyle w:val="TextBody"/>
        <w:bidi w:val="0"/>
        <w:spacing w:before="240" w:after="0"/>
        <w:jc w:val="both"/>
        <w:rPr>
          <w:rFonts w:ascii="Times New Roman" w:hAnsi="Times New Roman"/>
          <w:sz w:val="20"/>
        </w:rPr>
      </w:pPr>
      <w:r>
        <w:rPr>
          <w:rFonts w:ascii="Times New Roman" w:hAnsi="Times New Roman"/>
          <w:sz w:val="20"/>
        </w:rPr>
        <w:t>For more information about our SEC filings, please see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55546_3"/>
      <w:bookmarkEnd w:id="5"/>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This prospectus, any applicable prospectus supplement or free writing prospectus and our SEC filings that are incorporated by reference into this prospectus and any applicable prospectus supplement or free writing prospectus contain or incorporate by reference, contains express or implied forward-looking statements which are made pursuant to the safe harbor provisions of Section 27A of the Securities Act, and Section 21E of the Securities Exchange Act of 1934, as amended (the “</w:t>
      </w:r>
      <w:r>
        <w:rPr>
          <w:rFonts w:ascii="Times New Roman" w:hAnsi="Times New Roman"/>
          <w:b/>
          <w:sz w:val="20"/>
        </w:rPr>
        <w:t>Exchange Act</w:t>
      </w:r>
      <w:r>
        <w:rPr>
          <w:rFonts w:ascii="Times New Roman" w:hAnsi="Times New Roman"/>
          <w:sz w:val="20"/>
        </w:rPr>
        <w:t xml:space="preserve">”) that are based on management’s beliefs and assumptions and on information currently available to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estimates regarding expenses, capital requirements, needs for additional financing and the period over which we anticipate our existing cash and cash equivalents will be sufficient to fund our operating expenses and capital expenditure requirements, including our belief that, based on our current plans, our existing cash, cash equivalents and short-term investments will enable us to conduct our planned operations into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our ability to obtain and maintain regulatory approval for our portfolio of three next generation antibody drug conjugates (the “</w:t>
            </w:r>
            <w:r>
              <w:rPr>
                <w:rFonts w:ascii="Times New Roman" w:hAnsi="Times New Roman"/>
                <w:b/>
                <w:sz w:val="20"/>
              </w:rPr>
              <w:t>ADC Therapies</w:t>
            </w:r>
            <w:r>
              <w:rPr>
                <w:rFonts w:ascii="Times New Roman" w:hAnsi="Times New Roman"/>
                <w:sz w:val="20"/>
              </w:rPr>
              <w:t xml:space="preserve">”) or any other product candidates we may develop, and any related restrictions, limitations or warnings in the label of an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the timing, progress and results of preclinical studies and clinical trials for our programs and product candidates (including our anticipated timing of submitting our investigational new drug (“</w:t>
            </w:r>
            <w:r>
              <w:rPr>
                <w:rFonts w:ascii="Times New Roman" w:hAnsi="Times New Roman"/>
                <w:b/>
                <w:sz w:val="20"/>
              </w:rPr>
              <w:t>IND</w:t>
            </w:r>
            <w:r>
              <w:rPr>
                <w:rFonts w:ascii="Times New Roman" w:hAnsi="Times New Roman"/>
                <w:sz w:val="20"/>
              </w:rPr>
              <w:t xml:space="preserve">”) application for HWK-206 with the U.S. Food and Drug Administration by mid-2026),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anticipated timing of releasing data for current or future clinical trials, including our expected timing of the data readouts for the HWK-007 and HWK-016 Phase 1 clinical trials in the first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anticipated timing of commencement, enrollment, and completion of any current or future clinical trials for the ADC Therapies or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belief that, with the three ADC Therapies, we have the ability to pursue multiple cancer indications with high potential in large addressable patient populations, including and beyond those indications currently expected to be targeted in the upcoming Phase 1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belief that the ADC Therapies will be able to target cancers expressing specified tumor markers precisely and deliver the potent, cytotoxic TOPO1 inhibitor at the site of cancer;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view that we are positioned to unlock the high potential of the ADC Therapies due to our track record of strong execution of novel drug formulation, research, clinical development, and commercialization in oncology, combined with our deep understanding of ADCs;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belief that our team is well positioned to execute on our strategy to develop and, if approved, commercialize the ADC Therapies and future pipeline assets to ultimately bring broad benefit to cancer patients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expectations regarding the beneficial characteristics, safety, efficacy and therapeutic effects of the ADC Therapies and any other product candidates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implementation of our business model and our strategic plans for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contract with and rely on third parties to assist in conducting our clinical trials and manufacturing the ADC Therapies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size and growth potential of the markets for the ADC Therapies and any other product candidates we may develop, if approved, and our ability to serve those markets, either alone or in partnership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funding for our operations, including funding necessary to complete development, approval and, if approved, commercialization of the ADC Therapies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our business development efforts to maximize the potential value of our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our ability to obtain and maintain intellectual property protection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retain the continued service of our key professionals and to identify, hire and retain additional qualified professionals;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other factors including but not limited to those detailed under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we have filed with the SEC. </w:t>
      </w:r>
    </w:p>
    <w:p>
      <w:pPr>
        <w:pStyle w:val="TextBody"/>
        <w:bidi w:val="0"/>
        <w:spacing w:before="240" w:after="0"/>
        <w:jc w:val="both"/>
        <w:rPr>
          <w:rFonts w:ascii="Times New Roman" w:hAnsi="Times New Roman"/>
          <w:sz w:val="20"/>
        </w:rPr>
      </w:pPr>
      <w:r>
        <w:rPr>
          <w:rFonts w:ascii="Times New Roman" w:hAnsi="Times New Roman"/>
          <w:sz w:val="20"/>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The foregoing list of factors is not exhaustive. You should carefully consider the foregoing factors and the other risks and uncertainties that affect our business described in the “Risk Factors” section, our Annual Report on Form 10-K, Quarterly Reports on Form 10-Q, Current Reports on Form 8-K and other documents filed by us from time to time with the SEC. For more information about our SEC filings, please see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55546_4"/>
      <w:bookmarkEnd w:id="6"/>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We are filing the registration statement of which this prospectus is a part to permit holders of the shares of our common stock described in the section entitled “</w:t>
      </w:r>
      <w:r>
        <w:rPr>
          <w:rFonts w:ascii="Times New Roman" w:hAnsi="Times New Roman"/>
          <w:i/>
          <w:sz w:val="20"/>
        </w:rPr>
        <w:t>Selling Stockholders</w:t>
      </w:r>
      <w:r>
        <w:rPr>
          <w:rFonts w:ascii="Times New Roman" w:hAnsi="Times New Roman"/>
          <w:sz w:val="20"/>
        </w:rPr>
        <w:t xml:space="preserve">” to resell such shares. We are not selling any securities under this prospectus and we will not receive any proceeds from the sale or other disposition of shares of our common stock held by the selling stockholders. Upon any exercise of the pre-funded warrants by payment of cash, however, we will receive the exercise price of such pre-funded warrants. The selling stockholders will receive all of the proceeds from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will pay any discounts, commissions, fees of underwriters, selling brokers or dealer managers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printing fees, Nasdaq listing fees and fees and expenses of our counsel and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55546_5"/>
      <w:bookmarkEnd w:id="7"/>
      <w:r>
        <w:rPr>
          <w:rFonts w:ascii="Times New Roman" w:hAnsi="Times New Roman"/>
          <w:b/>
          <w:sz w:val="20"/>
        </w:rPr>
        <w:t xml:space="preserve">SELLING STOCKHOLDERS </w:t>
      </w:r>
    </w:p>
    <w:p>
      <w:pPr>
        <w:pStyle w:val="TextBody"/>
        <w:bidi w:val="0"/>
        <w:spacing w:before="240" w:after="0"/>
        <w:jc w:val="both"/>
        <w:rPr>
          <w:rFonts w:ascii="Times New Roman" w:hAnsi="Times New Roman"/>
          <w:sz w:val="20"/>
        </w:rPr>
      </w:pPr>
      <w:r>
        <w:rPr>
          <w:rFonts w:ascii="Times New Roman" w:hAnsi="Times New Roman"/>
          <w:sz w:val="20"/>
        </w:rPr>
        <w:t>This prospectus covers the resale or other disposition of up to 22,321,887 Shares, which consist of (i) 4,330,866 outstanding shares of our common stock held by the selling stockholders and (ii) 17,991,021 shares of our common stock issuable upon the exercise of outstanding pre-funded warrants to purchase shares of our common stock that are held by the selling stockholders. The pre-funded warrants are exercisable at any time after their original issuance and will not expire. We cannot predict when or whether any of the selling stockholders will exercise their pre-funded warrants. See “</w:t>
      </w:r>
      <w:r>
        <w:rPr>
          <w:rFonts w:ascii="Times New Roman" w:hAnsi="Times New Roman"/>
          <w:i/>
          <w:sz w:val="20"/>
        </w:rPr>
        <w:t>Prospectus Summary—Private Placement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pre-funded warrants provide that a holder of pre-funded warrants does not have the right to exercise pre-funded warrants if such holder, together with its affiliates, would beneficially own in excess of 4.99%, 9.99% or 19.99%, at the election of the holder, of the number of shares of our common stock outstanding immediately before or after giving effect to such exercise (the “</w:t>
      </w:r>
      <w:r>
        <w:rPr>
          <w:rFonts w:ascii="Times New Roman" w:hAnsi="Times New Roman"/>
          <w:b/>
          <w:sz w:val="20"/>
        </w:rPr>
        <w:t>Beneficial Ownership Limitation</w:t>
      </w:r>
      <w:r>
        <w:rPr>
          <w:rFonts w:ascii="Times New Roman" w:hAnsi="Times New Roman"/>
          <w:sz w:val="20"/>
        </w:rPr>
        <w:t xml:space="preserve">”); provided, however, that each holder may increase the Beneficial Ownership Limitation by giving at least 61 days’ notice to the Company, but not in excess of 19.99%. Throughout this prospectus, when we refer to the shares of common stock being registered on behalf of the selling stockholders, we are referring to the outstanding shares of our common stock and the shares issuable upon the exercise of outstanding pre-funded warrants without giving effect to the Beneficial Ownership Limitation. </w:t>
      </w:r>
    </w:p>
    <w:p>
      <w:pPr>
        <w:pStyle w:val="TextBody"/>
        <w:bidi w:val="0"/>
        <w:spacing w:before="240" w:after="0"/>
        <w:jc w:val="both"/>
        <w:rPr>
          <w:rFonts w:ascii="Times New Roman" w:hAnsi="Times New Roman"/>
          <w:sz w:val="20"/>
        </w:rPr>
      </w:pPr>
      <w:r>
        <w:rPr>
          <w:rFonts w:ascii="Times New Roman" w:hAnsi="Times New Roman"/>
          <w:sz w:val="20"/>
        </w:rPr>
        <w:t>The table below sets forth, to our knowledge, information concerning the beneficial ownership of shares of our common stock by the selling stockholders as of May 14, 2026. The information in the table below with respect to the selling stockholders has been obtained from the respective selling stockholders. The selling stockholders may sell all, some or none of the shares of common stock subject to this prospectus. See “</w:t>
      </w:r>
      <w:r>
        <w:rPr>
          <w:rFonts w:ascii="Times New Roman" w:hAnsi="Times New Roman"/>
          <w:i/>
          <w:sz w:val="20"/>
        </w:rPr>
        <w:t>Plan of Distribution</w:t>
      </w:r>
      <w:r>
        <w:rPr>
          <w:rFonts w:ascii="Times New Roman" w:hAnsi="Times New Roman"/>
          <w:sz w:val="20"/>
        </w:rPr>
        <w:t>” as may be supplemented and amended from time to time. We do not know how long the selling stockholders will hold the shares before selling them, and except as set forth below under “</w:t>
      </w:r>
      <w:r>
        <w:rPr>
          <w:rFonts w:ascii="Times New Roman" w:hAnsi="Times New Roman"/>
          <w:i/>
          <w:sz w:val="20"/>
        </w:rPr>
        <w:t>Relationship with Selling Stockholders</w:t>
      </w:r>
      <w:r>
        <w:rPr>
          <w:rFonts w:ascii="Times New Roman" w:hAnsi="Times New Roman"/>
          <w:sz w:val="20"/>
        </w:rPr>
        <w:t xml:space="preserve">,” we currently have no agreements, arrangements or understandings with the selling stockholders regarding the sale or other disposition of any of the shares.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common stock beneficially owned prior to the offering for each selling stockholder includes (i) all shares of our common stock beneficially held by such selling stockholder as of May 14, 2026, (ii) the number of shares of our common stock that may be offered under this prospectus, and (iii) the number and percentage of our common stock beneficially owned by the selling stockholders assuming all of the shares of our common stock registered hereunder are sold. The table below and footnotes assume that the selling stockholders will sell all of the shares listed. However, because the selling stockholders may sell all or some of their shares under this prospectus from time to time, or in another permitted manner, we cannot assure you as to the actual number of shares that will be sold by the selling stockholders or that will be held by the selling stockholders after completion of any sales. We do not know how long the selling stockholders will hold the shares before selling them. The percentages of shares owned after the offering are based on 53,783,329 shares of common stock outstanding as of May 14, 2026, which includes the outstanding shares of common stock offered by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The inclusion of any shares in this table does not constitute an admission of beneficial ownership for any selling stockholder named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Information about the selling stockholders may change over time. Any changed information will be set forth in an amendment to the registration statement or supplement to this prospectus, to the extent required by law.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65"/>
        <w:gridCol w:w="179"/>
        <w:gridCol w:w="83"/>
        <w:gridCol w:w="1559"/>
        <w:gridCol w:w="60"/>
        <w:gridCol w:w="179"/>
        <w:gridCol w:w="98"/>
        <w:gridCol w:w="1630"/>
        <w:gridCol w:w="60"/>
        <w:gridCol w:w="179"/>
        <w:gridCol w:w="60"/>
        <w:gridCol w:w="1152"/>
        <w:gridCol w:w="60"/>
        <w:gridCol w:w="179"/>
        <w:gridCol w:w="126"/>
        <w:gridCol w:w="936"/>
        <w:gridCol w:w="283"/>
      </w:tblGrid>
      <w:tr>
        <w:trPr/>
        <w:tc>
          <w:tcPr>
            <w:tcW w:w="256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79"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Offering</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 Stock</w:t>
              <w:br/>
              <w:t>Being Offered (1)</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513" w:type="dxa"/>
            <w:gridSpan w:val="6"/>
            <w:tcBorders>
              <w:bottom w:val="single" w:sz="8" w:space="0" w:color="000000"/>
            </w:tcBorders>
            <w:tcMar>
              <w:bottom w:w="28" w:type="dxa"/>
            </w:tcMar>
            <w:vAlign w:val="bottom"/>
          </w:tcPr>
          <w:p>
            <w:pPr>
              <w:pStyle w:val="TableContents"/>
              <w:bidi w:val="0"/>
              <w:spacing w:before="0" w:after="283"/>
              <w:jc w:val="center"/>
              <w:rPr/>
            </w:pPr>
            <w:r>
              <w:rPr>
                <w:b/>
              </w:rPr>
              <w:t>Shares of Common Stock</w:t>
              <w:br/>
              <w:t>to be Beneficially Owned</w:t>
            </w:r>
            <w:r>
              <w:rPr/>
              <w:br/>
            </w:r>
            <w:r>
              <w:rPr>
                <w:b/>
              </w:rPr>
              <w:t>After Offering (2)</w:t>
            </w:r>
          </w:p>
        </w:tc>
        <w:tc>
          <w:tcPr>
            <w:tcW w:w="283" w:type="dxa"/>
            <w:tcBorders/>
            <w:vAlign w:val="bottom"/>
          </w:tcPr>
          <w:p>
            <w:pPr>
              <w:pStyle w:val="TableContents"/>
              <w:bidi w:val="0"/>
              <w:spacing w:before="0" w:after="283"/>
              <w:jc w:val="left"/>
              <w:rPr/>
            </w:pPr>
            <w:r>
              <w:rPr/>
              <w:t> </w:t>
            </w:r>
          </w:p>
        </w:tc>
      </w:tr>
      <w:tr>
        <w:trPr/>
        <w:tc>
          <w:tcPr>
            <w:tcW w:w="256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pPr>
            <w:r>
              <w:rPr/>
              <w:t>Number</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bottom"/>
          </w:tcPr>
          <w:p>
            <w:pPr>
              <w:pStyle w:val="TableContents"/>
              <w:bidi w:val="0"/>
              <w:spacing w:before="0" w:after="283"/>
              <w:jc w:val="center"/>
              <w:rPr/>
            </w:pPr>
            <w:r>
              <w:rPr/>
              <w:t>Offered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pPr>
            <w:r>
              <w:rPr/>
              <w:t>Number</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pPr>
            <w:r>
              <w:rPr/>
              <w:t>Percentage</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Acuta Capital Partners, LLC (3)</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4,685,912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1,275,510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3,410,402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6.3</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ADAR1 Capital Management, LLC (4)</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1,411,394</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1,275,510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135,884</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Avoro (5)</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18,182,466</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6,377,714</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11,804,752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21.9</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Invus (6)</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2,337,102</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255,102</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2,082,000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3.9</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Suvretta (7)</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10,565,685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2,232,185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8,333,500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15.5</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Caley Castelein (8)</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4,671,282</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255,102</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2,343,424</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4.4</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Coastlands Capital Partners LP (9)</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6,842,774</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3,826,629</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3,016,145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5.6</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Bryan Ball (10)</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834,829</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51,020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783,809</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1.5</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Lennon (11)</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1,255,565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51,021</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1,204,544</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2.2</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KVP Capital, LP (12)</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4,238,753</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2,072,756</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2,165,997</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4.0</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Margaret Dugan (13)</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19,132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19,132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QVT Family Office Fund LP (14)</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8,697,446</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4,081,737</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4,615,709</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8.6</w:t>
            </w:r>
          </w:p>
        </w:tc>
        <w:tc>
          <w:tcPr>
            <w:tcW w:w="283" w:type="dxa"/>
            <w:tcBorders/>
            <w:vAlign w:val="bottom"/>
          </w:tcPr>
          <w:p>
            <w:pPr>
              <w:pStyle w:val="TableContents"/>
              <w:bidi w:val="0"/>
              <w:spacing w:before="0" w:after="283"/>
              <w:jc w:val="left"/>
              <w:rPr/>
            </w:pPr>
            <w:r>
              <w:rPr/>
              <w:t>% </w:t>
            </w:r>
          </w:p>
        </w:tc>
      </w:tr>
      <w:tr>
        <w:trPr/>
        <w:tc>
          <w:tcPr>
            <w:tcW w:w="2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Giacobello (15)</w:t>
            </w:r>
          </w:p>
        </w:tc>
        <w:tc>
          <w:tcPr>
            <w:tcW w:w="17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1,054,579</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38,265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1,016,314</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w:t>
            </w:r>
          </w:p>
        </w:tc>
        <w:tc>
          <w:tcPr>
            <w:tcW w:w="283" w:type="dxa"/>
            <w:tcBorders/>
            <w:shd w:fill="CCEEFF" w:val="clear"/>
            <w:vAlign w:val="bottom"/>
          </w:tcPr>
          <w:p>
            <w:pPr>
              <w:pStyle w:val="TableContents"/>
              <w:bidi w:val="0"/>
              <w:spacing w:before="0" w:after="283"/>
              <w:jc w:val="left"/>
              <w:rPr/>
            </w:pPr>
            <w:r>
              <w:rPr/>
              <w:t>% </w:t>
            </w:r>
          </w:p>
        </w:tc>
      </w:tr>
      <w:tr>
        <w:trPr/>
        <w:tc>
          <w:tcPr>
            <w:tcW w:w="2565" w:type="dxa"/>
            <w:tcBorders/>
          </w:tcPr>
          <w:p>
            <w:pPr>
              <w:pStyle w:val="TableContents"/>
              <w:bidi w:val="0"/>
              <w:spacing w:before="0" w:after="0"/>
              <w:jc w:val="left"/>
              <w:rPr>
                <w:rFonts w:ascii="Times New Roman" w:hAnsi="Times New Roman"/>
                <w:sz w:val="20"/>
              </w:rPr>
            </w:pPr>
            <w:r>
              <w:rPr>
                <w:rFonts w:ascii="Times New Roman" w:hAnsi="Times New Roman"/>
                <w:sz w:val="20"/>
              </w:rPr>
              <w:t>StemPoint Capital Master Fund LP (16)</w:t>
            </w:r>
          </w:p>
        </w:tc>
        <w:tc>
          <w:tcPr>
            <w:tcW w:w="17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1,292,355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510,204</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782,151</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1.5</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of our common stock in the column “Number of Shares of Common Stock Being Offered” represents all of the shares of our common stock that a selling stockholder may offer and sell from time to time under this prospectus.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do not know when or in what amounts a selling stockholder may offer Shares for sale. The selling stockholders might not sell any or might sell all of the shares offered by this prospectus. Because the selling stockholders may offer all or some of the Shares pursuant to this offering, and because, except as set forth elsewhere in this prospectus,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1,002,800 shares of common stock purchased in the Private Placement by Acuta Capital Fund, L.P. (“</w:t>
            </w:r>
            <w:r>
              <w:rPr>
                <w:rFonts w:ascii="Times New Roman" w:hAnsi="Times New Roman"/>
                <w:b/>
                <w:sz w:val="20"/>
              </w:rPr>
              <w:t>Acuta Capital</w:t>
            </w:r>
            <w:r>
              <w:rPr>
                <w:rFonts w:ascii="Times New Roman" w:hAnsi="Times New Roman"/>
                <w:sz w:val="20"/>
              </w:rPr>
              <w:t>”); (ii) 272,710 shares of common stock purchased in the Private Placement by Acuta Opportunity Fund, L.P. (“</w:t>
            </w:r>
            <w:r>
              <w:rPr>
                <w:rFonts w:ascii="Times New Roman" w:hAnsi="Times New Roman"/>
                <w:b/>
                <w:sz w:val="20"/>
              </w:rPr>
              <w:t>Acuta Opportunity Fund</w:t>
            </w:r>
            <w:r>
              <w:rPr>
                <w:rFonts w:ascii="Times New Roman" w:hAnsi="Times New Roman"/>
                <w:sz w:val="20"/>
              </w:rPr>
              <w:t>”); (iii) 2,535,488 shares of common stock held by Acuta Capital; and (iv) 874,914 shares of common stock held by Acuta Opportunity Fund. Acuta Capital Partners, LLC (“</w:t>
            </w:r>
            <w:r>
              <w:rPr>
                <w:rFonts w:ascii="Times New Roman" w:hAnsi="Times New Roman"/>
                <w:b/>
                <w:sz w:val="20"/>
              </w:rPr>
              <w:t>Acuta Partners</w:t>
            </w:r>
            <w:r>
              <w:rPr>
                <w:rFonts w:ascii="Times New Roman" w:hAnsi="Times New Roman"/>
                <w:sz w:val="20"/>
              </w:rPr>
              <w:t xml:space="preserve">”) is a general partner of each of Acuta Capital and Acuta Opportunity Fund. Anupam Dalal, M.D., a director of our Company, is the Chief Investment Officer and Managing Member of Acuta Partners. Each of Acuta Partners and Dr. Dalal has voting and investment authority over all of the shares held by each of Acuta Capital and Acuta Opportunity Fund. Each of Acuta Partners and Dr. Dalal disclaim beneficial ownership of the shares of common stock held by each of Acuta Capital and Acuta Opportunity Fund except to the extent of their pecuniary interest therein. The principal business address of Acuta Partners is 255 Shoreline Drive, Suite 515, Redwood City, California 94065.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1,115,713 shares of common stock purchased in the Private Placement by ADAR1 Partners, LP (“</w:t>
            </w:r>
            <w:r>
              <w:rPr>
                <w:rFonts w:ascii="Times New Roman" w:hAnsi="Times New Roman"/>
                <w:b/>
                <w:sz w:val="20"/>
              </w:rPr>
              <w:t>ADAR1</w:t>
            </w:r>
            <w:r>
              <w:rPr>
                <w:rFonts w:ascii="Times New Roman" w:hAnsi="Times New Roman"/>
                <w:sz w:val="20"/>
              </w:rPr>
              <w:t>”); (ii) 159,797 shares of common stock purchased in the Private Placement by Spearhead Insurance Solutions IDF, LLC – Series ADAR1 (“</w:t>
            </w:r>
            <w:r>
              <w:rPr>
                <w:rFonts w:ascii="Times New Roman" w:hAnsi="Times New Roman"/>
                <w:b/>
                <w:sz w:val="20"/>
              </w:rPr>
              <w:t>Spearhead</w:t>
            </w:r>
            <w:r>
              <w:rPr>
                <w:rFonts w:ascii="Times New Roman" w:hAnsi="Times New Roman"/>
                <w:sz w:val="20"/>
              </w:rPr>
              <w:t xml:space="preserve">”); (iii) 118,254 shares of common stock held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by ADAR1; (iv) 7,304 shares of common stock held by Spearhead; and (v) 10,326 shares of common stock held by separately managed accounts (“</w:t>
            </w:r>
            <w:r>
              <w:rPr>
                <w:rFonts w:ascii="Times New Roman" w:hAnsi="Times New Roman"/>
                <w:b/>
                <w:sz w:val="20"/>
              </w:rPr>
              <w:t>Separate Accounts</w:t>
            </w:r>
            <w:r>
              <w:rPr>
                <w:rFonts w:ascii="Times New Roman" w:hAnsi="Times New Roman"/>
                <w:sz w:val="20"/>
              </w:rPr>
              <w:t>”). ADAR1 Capital Management, LLC (“</w:t>
            </w:r>
            <w:r>
              <w:rPr>
                <w:rFonts w:ascii="Times New Roman" w:hAnsi="Times New Roman"/>
                <w:b/>
                <w:sz w:val="20"/>
              </w:rPr>
              <w:t>ADAR1 LLC</w:t>
            </w:r>
            <w:r>
              <w:rPr>
                <w:rFonts w:ascii="Times New Roman" w:hAnsi="Times New Roman"/>
                <w:sz w:val="20"/>
              </w:rPr>
              <w:t>”), the investment advisor of ADAR1 and the sub-advisor of Spearhead and the Separate Accounts, has voting and investment control of the shares held by ADAR1, Spearhead, and the Separate Accounts. ADAR1 Capital Management GP, LLC (“</w:t>
            </w:r>
            <w:r>
              <w:rPr>
                <w:rFonts w:ascii="Times New Roman" w:hAnsi="Times New Roman"/>
                <w:b/>
                <w:sz w:val="20"/>
              </w:rPr>
              <w:t>ADAR1 GP</w:t>
            </w:r>
            <w:r>
              <w:rPr>
                <w:rFonts w:ascii="Times New Roman" w:hAnsi="Times New Roman"/>
                <w:sz w:val="20"/>
              </w:rPr>
              <w:t xml:space="preserve">”) is the general partner of ADAR1. Daniel Schneeberger is the manager of ADAR1 LLC and ADAR1 GP. The address of ADAR1 is 3503 Wild Cherry Drive, Building 9, Austin, TX 78738. The address of Spearhead is 3828 Kennett Pike, Suite 202, Greenville, DE 19807.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6,377,714 shares of common stock issuable upon the exercise of pre-funded warrants purchased in the Private Placement by Avoro Life Sciences Fund LLC (“</w:t>
            </w:r>
            <w:r>
              <w:rPr>
                <w:rFonts w:ascii="Times New Roman" w:hAnsi="Times New Roman"/>
                <w:b/>
                <w:sz w:val="20"/>
              </w:rPr>
              <w:t>Avoro Life Sciences Fund</w:t>
            </w:r>
            <w:r>
              <w:rPr>
                <w:rFonts w:ascii="Times New Roman" w:hAnsi="Times New Roman"/>
                <w:sz w:val="20"/>
              </w:rPr>
              <w:t>”), an investment fund managed by Avoro Capital Advisors LLC (“</w:t>
            </w:r>
            <w:r>
              <w:rPr>
                <w:rFonts w:ascii="Times New Roman" w:hAnsi="Times New Roman"/>
                <w:b/>
                <w:sz w:val="20"/>
              </w:rPr>
              <w:t>Avoro Capital</w:t>
            </w:r>
            <w:r>
              <w:rPr>
                <w:rFonts w:ascii="Times New Roman" w:hAnsi="Times New Roman"/>
                <w:sz w:val="20"/>
              </w:rPr>
              <w:t>”); (ii) 6,666,400 shares of common stock issuable upon the exercise of pre-funded warrants held by Avoro Life Sciences Fund; (iii) 1,666,600 shares of common stock issuable upon the exercise of pre-funded warrants held by Avoro Ventures Fund L.P. (“</w:t>
            </w:r>
            <w:r>
              <w:rPr>
                <w:rFonts w:ascii="Times New Roman" w:hAnsi="Times New Roman"/>
                <w:b/>
                <w:sz w:val="20"/>
              </w:rPr>
              <w:t>Avoro Ventures Fund</w:t>
            </w:r>
            <w:r>
              <w:rPr>
                <w:rFonts w:ascii="Times New Roman" w:hAnsi="Times New Roman"/>
                <w:sz w:val="20"/>
              </w:rPr>
              <w:t>”), an investment fund managed by Avoro Ventures LLC (“</w:t>
            </w:r>
            <w:r>
              <w:rPr>
                <w:rFonts w:ascii="Times New Roman" w:hAnsi="Times New Roman"/>
                <w:b/>
                <w:sz w:val="20"/>
              </w:rPr>
              <w:t>Avoro Ventures</w:t>
            </w:r>
            <w:r>
              <w:rPr>
                <w:rFonts w:ascii="Times New Roman" w:hAnsi="Times New Roman"/>
                <w:sz w:val="20"/>
              </w:rPr>
              <w:t xml:space="preserve">”); (iv) 2,849,402 shares of common stock held by Avoro Life Sciences Fund; and (v) 622,350 shares of common stock held by Avoro Ventures Fund. The pre-funded warrants may not be exercised to the extent such exercise would cause Avoro Life Sciences Fund and Avoro Ventures Fund, together with their affiliates, to beneficially own in excess of 19.99% of the number of shares of our common stock outstanding immediately after giving effect to such exercise. The beneficial ownership amounts in the table above do not give effect to this Beneficial Ownership Limitation solely for illustrative purposes. Avoro Capital has sole voting power and sole dispositive power with regard to the securities held by Avoro Life Sciences and Avoro Ventures has sole dispositive power with regard to securities held by Avoro Ventures Fund. Behzad Aghazadeh, a director of the Company, is the portfolio manager and controlling person at Avoro Capital and Avoro Ventures. Dr. Aghazadeh disclaims beneficial ownership of these shares, except to the extent of his pecuniary interest in such shares, if any. The principal business address of each of the Avoro entities and Dr. Aghazadeh is 110 Greene Street, Suite 800, New York, NY 10012.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219,140 shares of common stock purchased in the Private Placement by Invus Public Equities, L.P. (“</w:t>
            </w:r>
            <w:r>
              <w:rPr>
                <w:rFonts w:ascii="Times New Roman" w:hAnsi="Times New Roman"/>
                <w:b/>
                <w:sz w:val="20"/>
              </w:rPr>
              <w:t>Invus PE</w:t>
            </w:r>
            <w:r>
              <w:rPr>
                <w:rFonts w:ascii="Times New Roman" w:hAnsi="Times New Roman"/>
                <w:sz w:val="20"/>
              </w:rPr>
              <w:t>”); (ii) 35, 962 shares of common stock purchased in the Private Placement by Avicenna Life Sci Master Fund LP (“</w:t>
            </w:r>
            <w:r>
              <w:rPr>
                <w:rFonts w:ascii="Times New Roman" w:hAnsi="Times New Roman"/>
                <w:b/>
                <w:sz w:val="20"/>
              </w:rPr>
              <w:t>Avicenna Fund</w:t>
            </w:r>
            <w:r>
              <w:rPr>
                <w:rFonts w:ascii="Times New Roman" w:hAnsi="Times New Roman"/>
                <w:sz w:val="20"/>
              </w:rPr>
              <w:t>”); (iii) 1,788,496 shares of common stock held by Invus PE; and (iv) 293,504 shares of common stock held by Avicenna Fund. Invus Public Equities Advisors, LLC (“</w:t>
            </w:r>
            <w:r>
              <w:rPr>
                <w:rFonts w:ascii="Times New Roman" w:hAnsi="Times New Roman"/>
                <w:b/>
                <w:sz w:val="20"/>
              </w:rPr>
              <w:t>Invus PE Advisors</w:t>
            </w:r>
            <w:r>
              <w:rPr>
                <w:rFonts w:ascii="Times New Roman" w:hAnsi="Times New Roman"/>
                <w:sz w:val="20"/>
              </w:rPr>
              <w:t>”), as the general partner of Invus PE, controls Invus PE and, accordingly, may be deemed to beneficially own the shares directly held by Invus PE. Invus Global Management, LLC (“</w:t>
            </w:r>
            <w:r>
              <w:rPr>
                <w:rFonts w:ascii="Times New Roman" w:hAnsi="Times New Roman"/>
                <w:b/>
                <w:sz w:val="20"/>
              </w:rPr>
              <w:t>Global Management</w:t>
            </w:r>
            <w:r>
              <w:rPr>
                <w:rFonts w:ascii="Times New Roman" w:hAnsi="Times New Roman"/>
                <w:sz w:val="20"/>
              </w:rPr>
              <w:t>”), as the managing member of Invus PE Advisors, controls Invus PE Advisors and, accordingly, may be deemed to beneficially own the shares that Invus PE Advisors may be deemed to beneficially own. Siren, L.L.C. (“</w:t>
            </w:r>
            <w:r>
              <w:rPr>
                <w:rFonts w:ascii="Times New Roman" w:hAnsi="Times New Roman"/>
                <w:b/>
                <w:sz w:val="20"/>
              </w:rPr>
              <w:t>Siren</w:t>
            </w:r>
            <w:r>
              <w:rPr>
                <w:rFonts w:ascii="Times New Roman" w:hAnsi="Times New Roman"/>
                <w:sz w:val="20"/>
              </w:rPr>
              <w:t>”), as the managing member of Global Management, controls Global Management and, accordingly, may be deemed to beneficially own the shares that Global Management may be deemed to beneficially own. Avicenna Life Sci Master GP LLC (“</w:t>
            </w:r>
            <w:r>
              <w:rPr>
                <w:rFonts w:ascii="Times New Roman" w:hAnsi="Times New Roman"/>
                <w:b/>
                <w:sz w:val="20"/>
              </w:rPr>
              <w:t>Avicenna GP</w:t>
            </w:r>
            <w:r>
              <w:rPr>
                <w:rFonts w:ascii="Times New Roman" w:hAnsi="Times New Roman"/>
                <w:sz w:val="20"/>
              </w:rPr>
              <w:t>”), as the general partner of Avicenna Fund, controls Avicenna Fund and, accordingly, may be deemed to beneficially own the shares directly held by Avicenna Fund. Ulys, L.L.C. (“</w:t>
            </w:r>
            <w:r>
              <w:rPr>
                <w:rFonts w:ascii="Times New Roman" w:hAnsi="Times New Roman"/>
                <w:b/>
                <w:sz w:val="20"/>
              </w:rPr>
              <w:t>Ulys</w:t>
            </w:r>
            <w:r>
              <w:rPr>
                <w:rFonts w:ascii="Times New Roman" w:hAnsi="Times New Roman"/>
                <w:sz w:val="20"/>
              </w:rPr>
              <w:t xml:space="preserve">”),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 The principal business address for each of the entities and individuals above is 750 Lexington Avenue, 30th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428,653 shares of common stock purchased in the Private Placement by Averill Master Fund, Ltd. (“</w:t>
            </w:r>
            <w:r>
              <w:rPr>
                <w:rFonts w:ascii="Times New Roman" w:hAnsi="Times New Roman"/>
                <w:b/>
                <w:sz w:val="20"/>
              </w:rPr>
              <w:t>Averill Master Fund</w:t>
            </w:r>
            <w:r>
              <w:rPr>
                <w:rFonts w:ascii="Times New Roman" w:hAnsi="Times New Roman"/>
                <w:sz w:val="20"/>
              </w:rPr>
              <w:t>”); (ii) 1,165,734 shares of common stock issuable upon the exercise of pre-funded warrants purchased in the Private Placement by Averill Master Fund; (iii) 171,347 shares of common stock purchased in the Private Placement by Averill Madison Master Fund, Ltd. (“</w:t>
            </w:r>
            <w:r>
              <w:rPr>
                <w:rFonts w:ascii="Times New Roman" w:hAnsi="Times New Roman"/>
                <w:b/>
                <w:sz w:val="20"/>
              </w:rPr>
              <w:t>Averill Madison Fund</w:t>
            </w:r>
            <w:r>
              <w:rPr>
                <w:rFonts w:ascii="Times New Roman" w:hAnsi="Times New Roman"/>
                <w:sz w:val="20"/>
              </w:rPr>
              <w:t>” and, together with Averill Master Fund, the “</w:t>
            </w:r>
            <w:r>
              <w:rPr>
                <w:rFonts w:ascii="Times New Roman" w:hAnsi="Times New Roman"/>
                <w:b/>
                <w:sz w:val="20"/>
              </w:rPr>
              <w:t>Averill Funds</w:t>
            </w:r>
            <w:r>
              <w:rPr>
                <w:rFonts w:ascii="Times New Roman" w:hAnsi="Times New Roman"/>
                <w:sz w:val="20"/>
              </w:rPr>
              <w:t xml:space="preserve">”); (iv) 466,451 shares of common stock issuable upon the exercise of pre-funded warrants purchased in the Private Placement by Averill Madison Fund; (v) 3,278,917 shares of common stock held by Averill Master Fund; (vi) 4,106,179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of common stock issuable upon the exercise of pre-funded warrants held by Averill Master Fund; (vii) 421,083 shares of common stock held by Averill Madison Fund; and (viii) 527,321 shares of common stock issuable upon the exercise of pre-funded warrants held by Averill Master Fund. The pre-funded warrants may not be exercised to the extent such exercise would cause the Averill Funds, together with their affiliates, to beneficially own in excess of 9.99% of the number of shares of our common stock outstanding immediately after giving effect to such exercise. The beneficial ownership amounts in the table above do not give effect to this Beneficial Ownership Limitation solely for illustrative purposes. Suvretta Capital Management, LLC is the investment manager of the Averill Funds. Aaron Cowen is a control person of Suvretta Capital Management, LLC and as such may be deemed to beneficially own these shares. The principal business address of Suvretta Capital Management, LLC is 540 Madison Avenue, 7th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255,102 shares of common stock purchased in the Private Placement by Dr. Castelein, a member of our board of directors; (ii) 19,694 shares of common stock held by Dr. Castelein; (iii) the securities listed in footnote 12 below; and (iv) 157,733 shares of common stock issuable upon the exercise of options within 60 days of May 14, 2026. The number of shares of common stock being offered does not include the securities purchased by KVP Capital, LP in the Private Placement. The principal business address for Dr. Castelein is c/o Whitehawk Therapeutics, 2 Headquarters Plaza, East Building, 11th Floor, Morristown, NJ 07960.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3,826,629 shares of common stock issuable upon the exercise of pre-funded warrants purchased in the Private Placement by Coastlands Capital Partners LP (“</w:t>
            </w:r>
            <w:r>
              <w:rPr>
                <w:rFonts w:ascii="Times New Roman" w:hAnsi="Times New Roman"/>
                <w:b/>
                <w:sz w:val="20"/>
              </w:rPr>
              <w:t>Coastlands Capital</w:t>
            </w:r>
            <w:r>
              <w:rPr>
                <w:rFonts w:ascii="Times New Roman" w:hAnsi="Times New Roman"/>
                <w:sz w:val="20"/>
              </w:rPr>
              <w:t>”); and (ii) 3,016,145 shares of common stock held by Coastlands Capital. Coastlands Capital LP (“</w:t>
            </w:r>
            <w:r>
              <w:rPr>
                <w:rFonts w:ascii="Times New Roman" w:hAnsi="Times New Roman"/>
                <w:b/>
                <w:sz w:val="20"/>
              </w:rPr>
              <w:t>Coastlands</w:t>
            </w:r>
            <w:r>
              <w:rPr>
                <w:rFonts w:ascii="Times New Roman" w:hAnsi="Times New Roman"/>
                <w:sz w:val="20"/>
              </w:rPr>
              <w:t>”) and Coastlands Capital GP LLC (“</w:t>
            </w:r>
            <w:r>
              <w:rPr>
                <w:rFonts w:ascii="Times New Roman" w:hAnsi="Times New Roman"/>
                <w:b/>
                <w:sz w:val="20"/>
              </w:rPr>
              <w:t>Coastlands GP LLC</w:t>
            </w:r>
            <w:r>
              <w:rPr>
                <w:rFonts w:ascii="Times New Roman" w:hAnsi="Times New Roman"/>
                <w:sz w:val="20"/>
              </w:rPr>
              <w:t>”) are the investment adviser and general partner, respectively, of Coastlands Capital. Coastlands Capital LLC (“</w:t>
            </w:r>
            <w:r>
              <w:rPr>
                <w:rFonts w:ascii="Times New Roman" w:hAnsi="Times New Roman"/>
                <w:b/>
                <w:sz w:val="20"/>
              </w:rPr>
              <w:t>Coastlands GP</w:t>
            </w:r>
            <w:r>
              <w:rPr>
                <w:rFonts w:ascii="Times New Roman" w:hAnsi="Times New Roman"/>
                <w:sz w:val="20"/>
              </w:rPr>
              <w:t>”) is the general partner of Coastlands. Matthew D. Perry is the control person of Coastlands, Coastlands Capital, Coastlands GP and Coastlands GP LLC (collectively, the “</w:t>
            </w:r>
            <w:r>
              <w:rPr>
                <w:rFonts w:ascii="Times New Roman" w:hAnsi="Times New Roman"/>
                <w:b/>
                <w:sz w:val="20"/>
              </w:rPr>
              <w:t>Coastlands Entities</w:t>
            </w:r>
            <w:r>
              <w:rPr>
                <w:rFonts w:ascii="Times New Roman" w:hAnsi="Times New Roman"/>
                <w:sz w:val="20"/>
              </w:rPr>
              <w:t xml:space="preserve">”). The Coastlands Entities and Mr. Perry each disclaim membership in a group and beneficial ownership of the shares of common stock except to the extent of their respective pecuniary interests therein. The address and principal office of the Coastlands Entities and Mr. Perry is 601 California Street, Suite 1210, San Francisco, CA 94108.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51,020 shares of common stock purchased in the Private Placement by Mr. Ball, our Chief Technical Operations Officer; (ii) 397,106 shares of common stock held by Mr. Ball; and (iii) 386,703 shares of common stock issuable upon the exercise of options within 60 days of May 14, 2026. The principal business address for Mr. Ball is c/o Whitehawk Therapeutics, 2 Headquarters Plaza, East Building, 11th Floor, Morristown, NJ 07960.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51,021 shares of common stock purchased in the Private Placement by Dr. Lennon, our President and Chief Executive Officer; (ii) 518,622 shares of common stock held by Dr. Lennon; and (iii) 685,922 shares of common stock issuable upon the exercise of options within 60 days of May 14, 2026. The principal business address for Dr. Lennon is c/o Whitehawk Therapeutics, 2 Headquarters Plaza, East Building, 11th Floor, Morristown, NJ 07960.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2,072,756 shares of common stock issuable upon the exercise of pre-funded warrants purchased in the Private Placement by KVP Capital, LP (“</w:t>
            </w:r>
            <w:r>
              <w:rPr>
                <w:rFonts w:ascii="Times New Roman" w:hAnsi="Times New Roman"/>
                <w:b/>
                <w:sz w:val="20"/>
              </w:rPr>
              <w:t>KVP Capital</w:t>
            </w:r>
            <w:r>
              <w:rPr>
                <w:rFonts w:ascii="Times New Roman" w:hAnsi="Times New Roman"/>
                <w:sz w:val="20"/>
              </w:rPr>
              <w:t xml:space="preserve">”); and (ii) 2,165,997 shares of common stock held by KVP Capital. KVP Capital Advisors, LP is the manager of KVP Capital and KVP Capital GP, LLC is the general partner of KVP Capital. Caley Castelein, M.D., a member of our board of directors, and Andrew Jensen are the managing members of KVP Capital GP, LLC. Dr. Castelein and Mr. Jensen each disclaims beneficial ownership of the shares held by KVP Capital, except to the extent of his pecuniary interest therein. The principal business address for each of the entities and individuals above is 100 Meridian Avenue, Apt. 224, Miami Beach, FL 33139.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13.</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19,132 shares of common stock purchased in the Private Placement by Dr. Dugan, our Chief Medical Officer. The principal business address for Dr. Dugan is c/o Whitehawk Therapeutics, 2 Headquarters Plaza, East Building, 11th Floor, Morristown, NJ 07960.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4,081,737 shares of common stock issuable upon the exercise of pre-funded warrants purchased in the Private Placement by QVT Family Office Fund LP (“</w:t>
            </w:r>
            <w:r>
              <w:rPr>
                <w:rFonts w:ascii="Times New Roman" w:hAnsi="Times New Roman"/>
                <w:b/>
                <w:sz w:val="20"/>
              </w:rPr>
              <w:t>QVT Family Office</w:t>
            </w:r>
            <w:r>
              <w:rPr>
                <w:rFonts w:ascii="Times New Roman" w:hAnsi="Times New Roman"/>
                <w:sz w:val="20"/>
              </w:rPr>
              <w:t xml:space="preserve">”); and (ii) 4,615,709 shares of common stock held by QVT Family Office. QVT Associates GP LLC may be deemed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share beneficial ownership of the shares of common stock held by QVT Family Office. Each of QVT Financial LP and QVT Financial GP LLC may be deemed to share beneficial ownership of the shares of common stock held by QVT Family Office. The Managing Members of QVT Financial GP LLC and QVT Associates GP LLC are Daniel Gold, Nicholas Brumm, Arthur Chu and Tracy Fu, each of whom disclaims beneficial ownership of the securities held by QVT Family Office. The principal business address for QVT Family Office, QVT Financial LP, QVT Financial GP LLC, QVT Associates GP LLC and the Managing Members is 888 Seventh Avenue, 43rd Floor, New York, NY 10106.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38,265 shares of common stock purchased in the Private Placement by Mr. Giacobello, our Chief Financial Officer; (ii) 295,224 shares of common stock held by Mr. Giacobello; and (iii) 721,090 shares of common stock issuable upon the exercise of options within 60 days of May 14, 2026. The principal business address for Mr. Giacobello is c/o Whitehawk Therapeutics, 2 Headquarters Plaza, East Building, 11th Floor, Morristown, NJ 07960.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Consists of (i) 510,204 shares of common stock purchased in the Private Placement by StemPoint Capital Master Fund LP (“</w:t>
            </w:r>
            <w:r>
              <w:rPr>
                <w:rFonts w:ascii="Times New Roman" w:hAnsi="Times New Roman"/>
                <w:b/>
                <w:sz w:val="20"/>
              </w:rPr>
              <w:t>Master Fund</w:t>
            </w:r>
            <w:r>
              <w:rPr>
                <w:rFonts w:ascii="Times New Roman" w:hAnsi="Times New Roman"/>
                <w:sz w:val="20"/>
              </w:rPr>
              <w:t>”); and (ii) 782,151 shares of common stock held by Master Fund. StemPoint Capital LP (“</w:t>
            </w:r>
            <w:r>
              <w:rPr>
                <w:rFonts w:ascii="Times New Roman" w:hAnsi="Times New Roman"/>
                <w:b/>
                <w:sz w:val="20"/>
              </w:rPr>
              <w:t>Adviser</w:t>
            </w:r>
            <w:r>
              <w:rPr>
                <w:rFonts w:ascii="Times New Roman" w:hAnsi="Times New Roman"/>
                <w:sz w:val="20"/>
              </w:rPr>
              <w:t xml:space="preserve">”) is the investment advisor of Master Fund and may be deemed to have beneficial ownership of the shares beneficially owned thereby. Michelle Ross is the controlling person of the Adviser and accordingly, may be deemed to have beneficial ownership of the shares beneficially owned by Master Fund and the Adviser. Each of the Master Fund, Ms. Ross, and the Adviser disclaims beneficial ownership of all such securities except to the extent of her or its pecuniary interest therein. The business address for the Master Fund, Ms. Ross and the Adviser is 520 Madison Avenue, 19th Floor, New York, NY 10022.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Stockholders </w:t>
      </w:r>
    </w:p>
    <w:p>
      <w:pPr>
        <w:pStyle w:val="TextBody"/>
        <w:bidi w:val="0"/>
        <w:spacing w:before="120" w:after="0"/>
        <w:jc w:val="both"/>
        <w:rPr>
          <w:rFonts w:ascii="Times New Roman" w:hAnsi="Times New Roman"/>
          <w:sz w:val="20"/>
        </w:rPr>
      </w:pPr>
      <w:r>
        <w:rPr>
          <w:rFonts w:ascii="Times New Roman" w:hAnsi="Times New Roman"/>
          <w:sz w:val="20"/>
        </w:rPr>
        <w:t>As discussed in greater detail above under the section “</w:t>
      </w:r>
      <w:r>
        <w:rPr>
          <w:rFonts w:ascii="Times New Roman" w:hAnsi="Times New Roman"/>
          <w:i/>
          <w:sz w:val="20"/>
        </w:rPr>
        <w:t>Prospectus Summary—Private Placement</w:t>
      </w:r>
      <w:r>
        <w:rPr>
          <w:rFonts w:ascii="Times New Roman" w:hAnsi="Times New Roman"/>
          <w:sz w:val="20"/>
        </w:rPr>
        <w:t xml:space="preserve">,” on May 12, 2026, we entered into the Purchase Agreement with certain of the selling stockholders pursuant to which we sold shares of common stock to such selling stockholders, and agreed with the selling stockholders to file a registration statement to enable the resale of the shares of common stock covered by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Other than (i) David J. Lennon, Ph.D., who is our President and Chief Executive Officer, (ii) Scott Giacobello, who is our Chief Financial Officer, (iii) Bryan Ball, who is our Chief Technical Operations Officer, (iv) Margaret Dugan, M.D., who is our Chief Medical Officer, (v) Anupam Dalal, M.D., who is a member of our board of directors and the Chief Investment Officer of Acuta Capital Partners, LLC, (vi) Caley Castelein, M.D., who is the chair of our board of directors and is a Managing Director of KVP Capital GP, LLC, which is the general partner of KVP Capital, LP., and (vii) Behzad Aghazadeh, Ph.D., who is a member of our board of directors and the Managing Partner and Portfolio Manager of Avoro Capital Advisors, none of the selling stockholders or any persons having control over such selling stockholders has held any position or office with us or our affiliates within the last three years or has had a material relationship with us or any of our predecessors or affiliates within the past three years, other than as a result of the ownership of our shares 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55546_6"/>
      <w:bookmarkEnd w:id="8"/>
      <w:r>
        <w:rPr>
          <w:rFonts w:ascii="Times New Roman" w:hAnsi="Times New Roman"/>
          <w:b/>
          <w:sz w:val="20"/>
        </w:rPr>
        <w:t xml:space="preserve">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both"/>
        <w:rPr>
          <w:rFonts w:ascii="Times New Roman" w:hAnsi="Times New Roman"/>
          <w:sz w:val="20"/>
        </w:rPr>
      </w:pPr>
      <w:r>
        <w:rPr>
          <w:rFonts w:ascii="Times New Roman" w:hAnsi="Times New Roman"/>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w:t>
      </w:r>
      <w:r>
        <w:rPr>
          <w:rFonts w:ascii="Times New Roman" w:hAnsi="Times New Roman"/>
          <w:b/>
          <w:sz w:val="20"/>
        </w:rPr>
        <w:t>Securities Act</w:t>
      </w:r>
      <w:r>
        <w:rPr>
          <w:rFonts w:ascii="Times New Roman" w:hAnsi="Times New Roman"/>
          <w:sz w:val="20"/>
        </w:rPr>
        <w:t xml:space="preserve">”),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w:t>
      </w:r>
      <w:r>
        <w:rPr>
          <w:rFonts w:ascii="Times New Roman" w:hAnsi="Times New Roman"/>
          <w:sz w:val="20"/>
          <w:u w:val="single"/>
        </w:rPr>
        <w:t>provided</w:t>
      </w:r>
      <w:r>
        <w:rPr>
          <w:rFonts w:ascii="Times New Roman" w:hAnsi="Times New Roman"/>
          <w:sz w:val="20"/>
        </w:rPr>
        <w:t xml:space="preserve"> that they meet the criteria and conform to the requirements of that rule, or another available exemption from the registration requirements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both"/>
        <w:rPr>
          <w:rFonts w:ascii="Times New Roman" w:hAnsi="Times New Roman"/>
          <w:sz w:val="20"/>
        </w:rPr>
      </w:pPr>
      <w:r>
        <w:rPr>
          <w:rFonts w:ascii="Times New Roman" w:hAnsi="Times New Roman"/>
          <w:sz w:val="20"/>
        </w:rPr>
        <w:t xml:space="preserve">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that all the shares covered by this prospectus cease to be “Registrable Securities” (as defined in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55546_7"/>
      <w:bookmarkEnd w:id="9"/>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our common stock being offered by this prospectus is being passed upon for us by Wilson Sonsini Goodrich &amp; Rosati, Professional Corporation, San Diego, California. Certain members of, and investment partnerships comprised of members of, and person associated with, Wilson Sonsini Goodrich &amp; Rosati, Professional Corporation, directly or indirectly own less than 0.1% of the outstanding shares of our common stock. </w:t>
      </w:r>
    </w:p>
    <w:p>
      <w:pPr>
        <w:pStyle w:val="TextBody"/>
        <w:bidi w:val="0"/>
        <w:spacing w:before="480" w:after="0"/>
        <w:jc w:val="center"/>
        <w:rPr>
          <w:rFonts w:ascii="Times New Roman" w:hAnsi="Times New Roman"/>
          <w:b/>
          <w:sz w:val="20"/>
        </w:rPr>
      </w:pPr>
      <w:bookmarkStart w:id="10" w:name="tx155546_8"/>
      <w:bookmarkEnd w:id="10"/>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of Whitehawk Therapeutics, Inc as of December 31, 2025 and 2024,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1" w:name="tx155546_9"/>
      <w:bookmarkEnd w:id="11"/>
      <w:r>
        <w:rPr>
          <w:rFonts w:ascii="Times New Roman" w:hAnsi="Times New Roman"/>
          <w:b/>
          <w:sz w:val="20"/>
        </w:rPr>
        <w:t xml:space="preserve">WHERE YOU CAN FIND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w:t>
      </w:r>
    </w:p>
    <w:p>
      <w:pPr>
        <w:pStyle w:val="TextBody"/>
        <w:bidi w:val="0"/>
        <w:spacing w:before="240" w:after="0"/>
        <w:jc w:val="both"/>
        <w:rPr>
          <w:rFonts w:ascii="Times New Roman" w:hAnsi="Times New Roman"/>
          <w:sz w:val="20"/>
        </w:rPr>
      </w:pPr>
      <w:r>
        <w:rPr>
          <w:rFonts w:ascii="Times New Roman" w:hAnsi="Times New Roman"/>
          <w:sz w:val="20"/>
        </w:rPr>
        <w:t xml:space="preserve">We make available, free of charge, through our investor relations website, our Annual Reports on Form 10-K, Quarterly Reports on Form 10-Q, Current Reports on Form 8-K, statements of changes in beneficial ownership of securities and amendments to those reports and statements as soon as reasonably practicable after they are filed with the SEC. The address for our website is www.whitehawktx.com. The contents on our website are not part of this prospectus, and the reference to our website does not constitute incorporation by reference into this prospectus of the information contained at that site.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our securities.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55546_10"/>
      <w:bookmarkEnd w:id="12"/>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We hereby incorporate by reference into this prospectus the following documents that we have filed with the SEC under the Exchange Act (other than current reports on Form 8-K, or portions thereof, furnished under Items 2.02 or 7.01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March 12,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Definitive Proxy Statement on Schedule 14A, filed with the SEC on </w:t>
            </w:r>
            <w:hyperlink r:id="rId4">
              <w:r>
                <w:rPr>
                  <w:rStyle w:val="InternetLink"/>
                  <w:rFonts w:ascii="Times New Roman" w:hAnsi="Times New Roman"/>
                  <w:sz w:val="20"/>
                </w:rPr>
                <w:t>April 28,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our Quarterly Report on Form 10-Q filed with the SEC on </w:t>
            </w:r>
            <w:hyperlink r:id="rId5">
              <w:r>
                <w:rPr>
                  <w:rStyle w:val="InternetLink"/>
                  <w:rFonts w:ascii="Times New Roman" w:hAnsi="Times New Roman"/>
                  <w:sz w:val="20"/>
                </w:rPr>
                <w:t>May  7,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May  13, 2026</w:t>
              </w:r>
            </w:hyperlink>
            <w:r>
              <w:rPr>
                <w:rFonts w:ascii="Times New Roman" w:hAnsi="Times New Roman"/>
                <w:sz w:val="20"/>
              </w:rPr>
              <w:t xml:space="preserve"> and </w:t>
            </w:r>
            <w:hyperlink r:id="rId7">
              <w:r>
                <w:rPr>
                  <w:rStyle w:val="InternetLink"/>
                  <w:rFonts w:ascii="Times New Roman" w:hAnsi="Times New Roman"/>
                  <w:sz w:val="20"/>
                </w:rPr>
                <w:t>May 21,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the description of our common stock contained in </w:t>
            </w:r>
            <w:hyperlink r:id="rId8">
              <w:r>
                <w:rPr>
                  <w:rStyle w:val="InternetLink"/>
                  <w:rFonts w:ascii="Times New Roman" w:hAnsi="Times New Roman"/>
                  <w:sz w:val="20"/>
                </w:rPr>
                <w:t>Exhibit 4.1</w:t>
              </w:r>
            </w:hyperlink>
            <w:r>
              <w:rPr>
                <w:rFonts w:ascii="Times New Roman" w:hAnsi="Times New Roman"/>
                <w:sz w:val="20"/>
              </w:rPr>
              <w:t xml:space="preserve"> to our Annual Report on </w:t>
            </w:r>
            <w:hyperlink r:id="rId9">
              <w:r>
                <w:rPr>
                  <w:rStyle w:val="InternetLink"/>
                  <w:rFonts w:ascii="Times New Roman" w:hAnsi="Times New Roman"/>
                  <w:sz w:val="20"/>
                </w:rPr>
                <w:t>Form 10-K</w:t>
              </w:r>
            </w:hyperlink>
            <w:r>
              <w:rPr>
                <w:rFonts w:ascii="Times New Roman" w:hAnsi="Times New Roman"/>
                <w:sz w:val="20"/>
              </w:rPr>
              <w:t xml:space="preserve"> filed with the SEC on March 28, 2025, including any amendment or report updating such description.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All documents that we file with the SEC pursuant to Section 13(a), 13(c), 14 or 15(d) of the Exchange Act (other than current reports on Form 8-K, or portions thereof, furnished under Items 2.02 or 7.01 of Form 8-K)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8-K or any exhibit thereto, was or is furnished to, rather than filed with the SEC, such information or exhibit is specifically not incorporated by reference. </w:t>
      </w:r>
    </w:p>
    <w:p>
      <w:pPr>
        <w:pStyle w:val="TextBody"/>
        <w:bidi w:val="0"/>
        <w:spacing w:before="240" w:after="0"/>
        <w:jc w:val="both"/>
        <w:rPr>
          <w:rFonts w:ascii="Times New Roman" w:hAnsi="Times New Roman"/>
          <w:sz w:val="20"/>
        </w:rPr>
      </w:pPr>
      <w:r>
        <w:rPr>
          <w:rFonts w:ascii="Times New Roman" w:hAnsi="Times New Roman"/>
          <w:sz w:val="20"/>
        </w:rPr>
        <w:t xml:space="preserve">Upon written or oral request made to us at the address or telephone number below, we will, at no cost to the requester, provide to each person, including any beneficial owner, to whom this prospectus is delivered, a copy of any or all of the information that has been incorporated by reference in this prospectus (other than an exhibit to a filing, unless that exhibit is specifically incorporated by reference into that filing), but not delivered with this prospectus. You may also access this information on our website at www.whitehawktx.com by viewing the “SEC Filings” subsection of the “Investors &amp; News” menu. No additional information on our website is deemed to be part of or incorporated by reference into this prospectus. We have included our website address in this prospectus solely as an inactive textual reference. </w:t>
      </w:r>
    </w:p>
    <w:p>
      <w:pPr>
        <w:pStyle w:val="TextBody"/>
        <w:bidi w:val="0"/>
        <w:spacing w:before="480" w:after="0"/>
        <w:jc w:val="center"/>
        <w:rPr>
          <w:rFonts w:ascii="Times New Roman" w:hAnsi="Times New Roman"/>
          <w:sz w:val="20"/>
        </w:rPr>
      </w:pPr>
      <w:r>
        <w:rPr>
          <w:rFonts w:ascii="Times New Roman" w:hAnsi="Times New Roman"/>
          <w:sz w:val="20"/>
        </w:rPr>
        <w:t xml:space="preserve">Whitehawk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 Headquarters Plaza </w:t>
      </w:r>
    </w:p>
    <w:p>
      <w:pPr>
        <w:pStyle w:val="TextBody"/>
        <w:bidi w:val="0"/>
        <w:spacing w:before="0" w:after="0"/>
        <w:jc w:val="center"/>
        <w:rPr>
          <w:rFonts w:ascii="Times New Roman" w:hAnsi="Times New Roman"/>
          <w:sz w:val="20"/>
        </w:rPr>
      </w:pPr>
      <w:r>
        <w:rPr>
          <w:rFonts w:ascii="Times New Roman" w:hAnsi="Times New Roman"/>
          <w:sz w:val="20"/>
        </w:rPr>
        <w:t xml:space="preserve">East Building, 11th Floor </w:t>
      </w:r>
    </w:p>
    <w:p>
      <w:pPr>
        <w:pStyle w:val="TextBody"/>
        <w:bidi w:val="0"/>
        <w:spacing w:before="0" w:after="0"/>
        <w:jc w:val="center"/>
        <w:rPr>
          <w:rFonts w:ascii="Times New Roman" w:hAnsi="Times New Roman"/>
          <w:sz w:val="20"/>
        </w:rPr>
      </w:pPr>
      <w:r>
        <w:rPr>
          <w:rFonts w:ascii="Times New Roman" w:hAnsi="Times New Roman"/>
          <w:sz w:val="20"/>
        </w:rPr>
        <w:t xml:space="preserve">Morristown, NJ 07960 </w:t>
      </w:r>
    </w:p>
    <w:p>
      <w:pPr>
        <w:pStyle w:val="TextBody"/>
        <w:bidi w:val="0"/>
        <w:spacing w:before="0" w:after="0"/>
        <w:jc w:val="center"/>
        <w:rPr>
          <w:rFonts w:ascii="Times New Roman" w:hAnsi="Times New Roman"/>
          <w:sz w:val="20"/>
        </w:rPr>
      </w:pPr>
      <w:r>
        <w:rPr>
          <w:rFonts w:ascii="Times New Roman" w:hAnsi="Times New Roman"/>
          <w:sz w:val="20"/>
        </w:rPr>
        <w:t xml:space="preserve">(551) 321-2234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048125" cy="8782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4048125" cy="87820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22,321,887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360" w:after="0"/>
        <w:jc w:val="left"/>
        <w:rPr>
          <w:rFonts w:ascii="Times New Roman" w:hAnsi="Times New Roman"/>
          <w:sz w:val="20"/>
        </w:rPr>
      </w:pPr>
      <w:r>
        <w:rPr>
          <w:rFonts w:ascii="Times New Roman" w:hAnsi="Times New Roman"/>
          <w:b/>
          <w:sz w:val="20"/>
        </w:rPr>
        <w:t xml:space="preserve">Item 14. </w:t>
      </w:r>
      <w:r>
        <w:rPr>
          <w:rFonts w:ascii="Times New Roman" w:hAnsi="Times New Roman"/>
          <w:b/>
          <w:i/>
          <w:sz w:val="20"/>
        </w:rPr>
        <w:t>Other Expenses of Issuance and Distribution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fees and expenses incurred or expected to be incurred by us in connection with the offering described in this registration statement and the Private Placement, all of which will be paid by us. All amounts are estimates other than the Securities and Exchange Commission’s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13,995</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75,000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30,000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Printing fees and engraving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118,995</w:t>
            </w:r>
          </w:p>
        </w:tc>
        <w:tc>
          <w:tcPr>
            <w:tcW w:w="64"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 xml:space="preserve">Item 15. </w:t>
      </w:r>
      <w:r>
        <w:rPr>
          <w:rFonts w:ascii="Times New Roman" w:hAnsi="Times New Roman"/>
          <w:b/>
          <w:i/>
          <w:sz w:val="20"/>
        </w:rPr>
        <w:t>Indemnification of Directors and Officers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Under Section 145 of the Delaware General Corporation Law (the “</w:t>
      </w:r>
      <w:r>
        <w:rPr>
          <w:rFonts w:ascii="Times New Roman" w:hAnsi="Times New Roman"/>
          <w:b/>
          <w:sz w:val="20"/>
        </w:rPr>
        <w:t>DGCL</w:t>
      </w:r>
      <w:r>
        <w:rPr>
          <w:rFonts w:ascii="Times New Roman" w:hAnsi="Times New Roman"/>
          <w:sz w:val="20"/>
        </w:rPr>
        <w:t xml:space="preserve">”), we have broad powers to indemnify our directors and officers against liabilities they may incur in such capacities, including liabilities under the Securities Act of 1933, as amended, or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no reasonable cause to believe their conduct was unlawful. </w:t>
      </w:r>
    </w:p>
    <w:p>
      <w:pPr>
        <w:pStyle w:val="TextBody"/>
        <w:bidi w:val="0"/>
        <w:spacing w:before="240" w:after="0"/>
        <w:jc w:val="both"/>
        <w:rPr>
          <w:rFonts w:ascii="Times New Roman" w:hAnsi="Times New Roman"/>
          <w:sz w:val="20"/>
        </w:rPr>
      </w:pPr>
      <w:r>
        <w:rPr>
          <w:rFonts w:ascii="Times New Roman" w:hAnsi="Times New Roman"/>
          <w:sz w:val="20"/>
        </w:rPr>
        <w:t>Our Amended and Restated Certificate of Incorporation and Amended and Restated Bylaws (“</w:t>
      </w:r>
      <w:r>
        <w:rPr>
          <w:rFonts w:ascii="Times New Roman" w:hAnsi="Times New Roman"/>
          <w:b/>
          <w:sz w:val="20"/>
        </w:rPr>
        <w:t>Bylaws</w:t>
      </w:r>
      <w:r>
        <w:rPr>
          <w:rFonts w:ascii="Times New Roman" w:hAnsi="Times New Roman"/>
          <w:sz w:val="20"/>
        </w:rPr>
        <w:t xml:space="preserve">”) provide that we will limit the liability of our directors, and may indemnify our directors and officers, to the maximum extent permitted by the DGCL. The DGCL provides that directors of a corporation will not be personally liable for monetary damages for breach of their fiduciary duties as directors, except for liability for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breach of their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unlawful payment of dividends or redemption of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 from which the directors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These limitations of liability do not apply to liabilities arising under federal securities laws and do not affect the availability of equitable remedies such as injunctive relief or rescission. </w:t>
      </w:r>
    </w:p>
    <w:p>
      <w:pPr>
        <w:pStyle w:val="TextBody"/>
        <w:bidi w:val="0"/>
        <w:spacing w:before="240" w:after="0"/>
        <w:jc w:val="both"/>
        <w:rPr>
          <w:rFonts w:ascii="Times New Roman" w:hAnsi="Times New Roman"/>
          <w:sz w:val="20"/>
        </w:rPr>
      </w:pPr>
      <w:r>
        <w:rPr>
          <w:rFonts w:ascii="Times New Roman" w:hAnsi="Times New Roman"/>
          <w:sz w:val="20"/>
        </w:rPr>
        <w:t xml:space="preserve">We entered into separate indemnification agreements with our directors and executive officers in addition to the indemnification provided for in our Bylaws. These indemnification agreements provide, among other things, that we will indemnify our directors and officers for certain expenses, including damages, judgments, fines, penalties, settlements and costs and attorneys’ fees and disbursements, incurred by a director or executive officer in any claim, action or proceeding arising in his or her capacity as a director or executive officer of our company or in connection with service at our request for another corporation or entity. The indemnification agreements also provide for procedures that will apply in the event that a director or executive officer makes a claim for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Item 16. </w:t>
      </w:r>
      <w:r>
        <w:rPr>
          <w:rFonts w:ascii="Times New Roman" w:hAnsi="Times New Roman"/>
          <w:b/>
          <w:i/>
          <w:sz w:val="20"/>
        </w:rPr>
        <w:t>Exhibits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exhibits are filed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8"/>
        <w:gridCol w:w="281"/>
        <w:gridCol w:w="5253"/>
        <w:gridCol w:w="120"/>
        <w:gridCol w:w="781"/>
        <w:gridCol w:w="120"/>
        <w:gridCol w:w="454"/>
        <w:gridCol w:w="120"/>
        <w:gridCol w:w="710"/>
        <w:gridCol w:w="120"/>
        <w:gridCol w:w="1648"/>
      </w:tblGrid>
      <w:tr>
        <w:trPr/>
        <w:tc>
          <w:tcPr>
            <w:tcW w:w="59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52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59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525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52"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Incorporated by Reference</w:t>
            </w:r>
          </w:p>
        </w:tc>
      </w:tr>
      <w:tr>
        <w:trPr/>
        <w:tc>
          <w:tcPr>
            <w:tcW w:w="59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Number</w:t>
            </w:r>
          </w:p>
        </w:tc>
        <w:tc>
          <w:tcPr>
            <w:tcW w:w="281" w:type="dxa"/>
            <w:tcBorders/>
            <w:vAlign w:val="bottom"/>
          </w:tcPr>
          <w:p>
            <w:pPr>
              <w:pStyle w:val="TableContents"/>
              <w:bidi w:val="0"/>
              <w:spacing w:before="0" w:after="283"/>
              <w:jc w:val="left"/>
              <w:rPr/>
            </w:pPr>
            <w:r>
              <w:rPr/>
              <w:t>  </w:t>
            </w:r>
          </w:p>
        </w:tc>
        <w:tc>
          <w:tcPr>
            <w:tcW w:w="52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c>
          <w:tcPr>
            <w:tcW w:w="120" w:type="dxa"/>
            <w:tcBorders/>
            <w:vAlign w:val="bottom"/>
          </w:tcPr>
          <w:p>
            <w:pPr>
              <w:pStyle w:val="TableContents"/>
              <w:bidi w:val="0"/>
              <w:spacing w:before="0" w:after="283"/>
              <w:jc w:val="left"/>
              <w:rPr/>
            </w:pPr>
            <w:r>
              <w:rPr/>
              <w:t>  </w:t>
            </w:r>
          </w:p>
        </w:tc>
        <w:tc>
          <w:tcPr>
            <w:tcW w:w="7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Filed</w:t>
              <w:br/>
              <w:t>Herewith</w:t>
            </w:r>
          </w:p>
        </w:tc>
        <w:tc>
          <w:tcPr>
            <w:tcW w:w="120" w:type="dxa"/>
            <w:tcBorders/>
            <w:vAlign w:val="bottom"/>
          </w:tcPr>
          <w:p>
            <w:pPr>
              <w:pStyle w:val="TableContents"/>
              <w:bidi w:val="0"/>
              <w:spacing w:before="0" w:after="283"/>
              <w:jc w:val="left"/>
              <w:rPr/>
            </w:pPr>
            <w:r>
              <w:rPr/>
              <w:t>  </w:t>
            </w:r>
          </w:p>
        </w:tc>
        <w:tc>
          <w:tcPr>
            <w:tcW w:w="4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Form</w:t>
            </w:r>
          </w:p>
        </w:tc>
        <w:tc>
          <w:tcPr>
            <w:tcW w:w="120" w:type="dxa"/>
            <w:tcBorders/>
            <w:vAlign w:val="bottom"/>
          </w:tcPr>
          <w:p>
            <w:pPr>
              <w:pStyle w:val="TableContents"/>
              <w:bidi w:val="0"/>
              <w:spacing w:before="0" w:after="283"/>
              <w:jc w:val="left"/>
              <w:rPr/>
            </w:pPr>
            <w:r>
              <w:rPr/>
              <w:t>  </w:t>
            </w:r>
          </w:p>
        </w:tc>
        <w:tc>
          <w:tcPr>
            <w:tcW w:w="7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File/Film</w:t>
              <w:br/>
              <w:t>No.</w:t>
            </w:r>
          </w:p>
        </w:tc>
        <w:tc>
          <w:tcPr>
            <w:tcW w:w="120"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Filed</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4.1</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r:id="rId11">
              <w:r>
                <w:rPr>
                  <w:rStyle w:val="InternetLink"/>
                </w:rPr>
                <w:t xml:space="preserve">Specimen Common Stock Certificate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center"/>
              <w:rPr/>
            </w:pPr>
            <w:r>
              <w:rPr/>
              <w:t>S-3</w:t>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center"/>
              <w:rPr/>
            </w:pPr>
            <w:r>
              <w:rPr/>
              <w:t>4.1</w:t>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center"/>
              <w:rPr/>
            </w:pPr>
            <w:r>
              <w:rPr/>
              <w:t>March 31, 2025</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4.2</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r:id="rId12">
              <w:r>
                <w:rPr>
                  <w:rStyle w:val="InternetLink"/>
                </w:rPr>
                <w:t>Form of Pre-Funded Warrant to Purchase Common Stock.</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center"/>
              <w:rPr/>
            </w:pPr>
            <w:r>
              <w:rPr/>
              <w:t>8-K</w:t>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center"/>
              <w:rPr/>
            </w:pPr>
            <w:r>
              <w:rPr/>
              <w:t>4.1</w:t>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center"/>
              <w:rPr/>
            </w:pPr>
            <w:r>
              <w:rPr/>
              <w:t>May 13, 2026</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5.1</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w:anchor="d155546dex51.htm">
              <w:r>
                <w:rPr>
                  <w:rStyle w:val="InternetLink"/>
                </w:rPr>
                <w:t xml:space="preserve">Opinion of Wilson Sonsini Goodrich &amp; Rosati, P.C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center"/>
              <w:rPr/>
            </w:pPr>
            <w:r>
              <w:rPr/>
              <w:t>X</w:t>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sz w:val="4"/>
                <w:szCs w:val="4"/>
              </w:rPr>
            </w:pPr>
            <w:r>
              <w:rPr>
                <w:sz w:val="4"/>
                <w:szCs w:val="4"/>
              </w:rPr>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10.1</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r:id="rId13">
              <w:r>
                <w:rPr>
                  <w:rStyle w:val="InternetLink"/>
                </w:rPr>
                <w:t xml:space="preserve">Securities Purchase Agreement, dated May 12, 2026, by  and among Whitehawk Therapeutics, Inc. and each purchaser identified on Exhibit A thereto.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center"/>
              <w:rPr/>
            </w:pPr>
            <w:r>
              <w:rPr/>
              <w:t>8-K</w:t>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center"/>
              <w:rPr/>
            </w:pPr>
            <w:r>
              <w:rPr/>
              <w:t>10.1</w:t>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center"/>
              <w:rPr/>
            </w:pPr>
            <w:r>
              <w:rPr/>
              <w:t>May 13, 2026</w:t>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10.2</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w:anchor="d155546dex102.htm">
              <w:r>
                <w:rPr>
                  <w:rStyle w:val="InternetLink"/>
                </w:rPr>
                <w:t>Registration Rights Agreement, dated May 14, 2026, by and among Whitehawk Therapeutics, Inc. and the purchasers thereto.</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center"/>
              <w:rPr/>
            </w:pPr>
            <w:r>
              <w:rPr/>
              <w:t>X</w:t>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sz w:val="4"/>
                <w:szCs w:val="4"/>
              </w:rPr>
            </w:pPr>
            <w:r>
              <w:rPr>
                <w:sz w:val="4"/>
                <w:szCs w:val="4"/>
              </w:rPr>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23.1</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w:anchor="d155546dex231.htm">
              <w:r>
                <w:rPr>
                  <w:rStyle w:val="InternetLink"/>
                </w:rPr>
                <w:t xml:space="preserve">Consent of BDO USA, P.C. independent registered public accounting firm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center"/>
              <w:rPr/>
            </w:pPr>
            <w:r>
              <w:rPr/>
              <w:t>X</w:t>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sz w:val="4"/>
                <w:szCs w:val="4"/>
              </w:rPr>
            </w:pPr>
            <w:r>
              <w:rPr>
                <w:sz w:val="4"/>
                <w:szCs w:val="4"/>
              </w:rPr>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23.2</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w:anchor="d155546dex51.htm">
              <w:r>
                <w:rPr>
                  <w:rStyle w:val="InternetLink"/>
                </w:rPr>
                <w:t xml:space="preserve">Consent of Wilson Sonsini Goodrich &amp; Rosati, P.C. (included in Exhibit 5.1)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center"/>
              <w:rPr/>
            </w:pPr>
            <w:r>
              <w:rPr/>
              <w:t>X</w:t>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sz w:val="4"/>
                <w:szCs w:val="4"/>
              </w:rPr>
            </w:pPr>
            <w:r>
              <w:rPr>
                <w:sz w:val="4"/>
                <w:szCs w:val="4"/>
              </w:rPr>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 </w:t>
            </w:r>
            <w:r>
              <w:rPr/>
              <w:t>24.1</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w:anchor="ii155546_1">
              <w:r>
                <w:rPr>
                  <w:rStyle w:val="InternetLink"/>
                </w:rPr>
                <w:t xml:space="preserve">Power of attorney (included on the signature page to the registration statement)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center"/>
              <w:rPr/>
            </w:pPr>
            <w:r>
              <w:rPr/>
              <w:t>X</w:t>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sz w:val="4"/>
                <w:szCs w:val="4"/>
              </w:rPr>
            </w:pPr>
            <w:r>
              <w:rPr>
                <w:sz w:val="4"/>
                <w:szCs w:val="4"/>
              </w:rPr>
            </w:r>
          </w:p>
        </w:tc>
      </w:tr>
      <w:tr>
        <w:trPr>
          <w:trHeight w:val="120" w:hRule="atLeast"/>
        </w:trPr>
        <w:tc>
          <w:tcPr>
            <w:tcW w:w="598" w:type="dxa"/>
            <w:tcBorders/>
            <w:vAlign w:val="center"/>
          </w:tcPr>
          <w:p>
            <w:pPr>
              <w:pStyle w:val="TableContents"/>
              <w:bidi w:val="0"/>
              <w:spacing w:before="0" w:after="283"/>
              <w:jc w:val="left"/>
              <w:rPr>
                <w:sz w:val="4"/>
                <w:szCs w:val="4"/>
              </w:rPr>
            </w:pPr>
            <w:r>
              <w:rPr>
                <w:sz w:val="4"/>
                <w:szCs w:val="4"/>
              </w:rPr>
            </w:r>
          </w:p>
        </w:tc>
        <w:tc>
          <w:tcPr>
            <w:tcW w:w="5534" w:type="dxa"/>
            <w:gridSpan w:val="2"/>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before="0" w:after="283"/>
              <w:jc w:val="left"/>
              <w:rPr>
                <w:sz w:val="4"/>
                <w:szCs w:val="4"/>
              </w:rPr>
            </w:pPr>
            <w:r>
              <w:rPr>
                <w:sz w:val="4"/>
                <w:szCs w:val="4"/>
              </w:rPr>
            </w:r>
          </w:p>
        </w:tc>
        <w:tc>
          <w:tcPr>
            <w:tcW w:w="574"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107</w:t>
            </w:r>
          </w:p>
        </w:tc>
        <w:tc>
          <w:tcPr>
            <w:tcW w:w="281" w:type="dxa"/>
            <w:tcBorders/>
            <w:vAlign w:val="bottom"/>
          </w:tcPr>
          <w:p>
            <w:pPr>
              <w:pStyle w:val="TableContents"/>
              <w:bidi w:val="0"/>
              <w:spacing w:before="0" w:after="283"/>
              <w:jc w:val="left"/>
              <w:rPr/>
            </w:pPr>
            <w:r>
              <w:rPr/>
              <w:t>  </w:t>
            </w:r>
          </w:p>
        </w:tc>
        <w:tc>
          <w:tcPr>
            <w:tcW w:w="5253" w:type="dxa"/>
            <w:tcBorders/>
          </w:tcPr>
          <w:p>
            <w:pPr>
              <w:pStyle w:val="TableContents"/>
              <w:bidi w:val="0"/>
              <w:spacing w:before="0" w:after="283"/>
              <w:jc w:val="left"/>
              <w:rPr/>
            </w:pPr>
            <w:hyperlink w:anchor="d155546dexfilingfees.htm">
              <w:r>
                <w:rPr>
                  <w:rStyle w:val="InternetLink"/>
                </w:rPr>
                <w:t xml:space="preserve">Filing Fee Table </w:t>
              </w:r>
            </w:hyperlink>
          </w:p>
        </w:tc>
        <w:tc>
          <w:tcPr>
            <w:tcW w:w="120" w:type="dxa"/>
            <w:tcBorders/>
            <w:vAlign w:val="bottom"/>
          </w:tcPr>
          <w:p>
            <w:pPr>
              <w:pStyle w:val="TableContents"/>
              <w:bidi w:val="0"/>
              <w:spacing w:before="0" w:after="283"/>
              <w:jc w:val="left"/>
              <w:rPr/>
            </w:pPr>
            <w:r>
              <w:rPr/>
              <w:t>  </w:t>
            </w:r>
          </w:p>
        </w:tc>
        <w:tc>
          <w:tcPr>
            <w:tcW w:w="781" w:type="dxa"/>
            <w:tcBorders/>
          </w:tcPr>
          <w:p>
            <w:pPr>
              <w:pStyle w:val="TableContents"/>
              <w:bidi w:val="0"/>
              <w:spacing w:before="0" w:after="283"/>
              <w:jc w:val="center"/>
              <w:rPr/>
            </w:pPr>
            <w:r>
              <w:rPr/>
              <w:t>X</w:t>
            </w:r>
          </w:p>
        </w:tc>
        <w:tc>
          <w:tcPr>
            <w:tcW w:w="120"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sz w:val="20"/>
        </w:rPr>
      </w:pPr>
      <w:r>
        <w:rPr>
          <w:rFonts w:ascii="Times New Roman" w:hAnsi="Times New Roman"/>
          <w:b/>
          <w:sz w:val="20"/>
        </w:rPr>
        <w:t xml:space="preserve">Item 17. </w:t>
      </w:r>
      <w:r>
        <w:rPr>
          <w:rFonts w:ascii="Times New Roman" w:hAnsi="Times New Roman"/>
          <w:b/>
          <w:i/>
          <w:sz w:val="20"/>
        </w:rPr>
        <w:t>Undertakings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240" w:after="0"/>
        <w:jc w:val="both"/>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240" w:after="0"/>
        <w:jc w:val="both"/>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Provided, however,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both"/>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both"/>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both"/>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both"/>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 </w:t>
      </w:r>
    </w:p>
    <w:p>
      <w:pPr>
        <w:pStyle w:val="TextBody"/>
        <w:bidi w:val="0"/>
        <w:spacing w:before="240" w:after="0"/>
        <w:jc w:val="both"/>
        <w:rPr>
          <w:rFonts w:ascii="Times New Roman" w:hAnsi="Times New Roman"/>
          <w:sz w:val="20"/>
        </w:rPr>
      </w:pPr>
      <w:r>
        <w:rPr>
          <w:rFonts w:ascii="Times New Roman" w:hAnsi="Times New Roman"/>
          <w:sz w:val="20"/>
        </w:rPr>
        <w:t xml:space="preserve">(5)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both"/>
        <w:rPr>
          <w:rFonts w:ascii="Times New Roman" w:hAnsi="Times New Roman"/>
          <w:sz w:val="20"/>
        </w:rPr>
      </w:pPr>
      <w:r>
        <w:rPr>
          <w:rFonts w:ascii="Times New Roman" w:hAnsi="Times New Roman"/>
          <w:sz w:val="20"/>
        </w:rPr>
        <w:t xml:space="preserve">(6)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ii155546_1"/>
      <w:bookmarkEnd w:id="13"/>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Morristown, State of New Jersey, on May 29,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WHITEHAWK THERAPEUTICS,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By:</w:t>
            </w:r>
          </w:p>
          <w:p>
            <w:pPr>
              <w:pStyle w:val="TableContents"/>
              <w:bidi w:val="0"/>
              <w:spacing w:before="0" w:after="2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vAlign w:val="bottom"/>
          </w:tcPr>
          <w:p>
            <w:pPr>
              <w:pStyle w:val="TableContents"/>
              <w:bidi w:val="0"/>
              <w:spacing w:before="0" w:after="0"/>
              <w:jc w:val="both"/>
              <w:rPr>
                <w:rFonts w:ascii="Times New Roman" w:hAnsi="Times New Roman"/>
                <w:sz w:val="20"/>
              </w:rPr>
            </w:pPr>
            <w:r>
              <w:rPr>
                <w:rFonts w:ascii="Times New Roman" w:hAnsi="Times New Roman"/>
                <w:sz w:val="20"/>
              </w:rPr>
              <w:t>/s/ David J. Lennon</w:t>
            </w:r>
          </w:p>
          <w:p>
            <w:pPr>
              <w:pStyle w:val="TableContents"/>
              <w:bidi w:val="0"/>
              <w:spacing w:before="0" w:after="20"/>
              <w:jc w:val="left"/>
              <w:rPr/>
            </w:pPr>
            <w:r>
              <w:rPr/>
              <w:t> </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David J. Lennon, Ph.D.</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both"/>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David J. Lennon, Ph.D. and Scott Giacobello, and each of them acting individually, as his or her true and lawful attorneys-in-fact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related registration statements filed pursuant to Rule 462 and otherwise), and to file the same with all exhibits thereto, and other documents in connection therewith, with the Securities and Exchange Commission, granting unto said attorneys-in-fact and agents,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7"/>
        <w:gridCol w:w="120"/>
        <w:gridCol w:w="3518"/>
        <w:gridCol w:w="202"/>
        <w:gridCol w:w="1898"/>
      </w:tblGrid>
      <w:tr>
        <w:trPr/>
        <w:tc>
          <w:tcPr>
            <w:tcW w:w="44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44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8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67"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67"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David J. Lennon</w:t>
            </w:r>
          </w:p>
          <w:p>
            <w:pPr>
              <w:pStyle w:val="TableContents"/>
              <w:bidi w:val="0"/>
              <w:spacing w:before="0" w:after="20"/>
              <w:jc w:val="both"/>
              <w:rPr>
                <w:rFonts w:ascii="Times New Roman" w:hAnsi="Times New Roman"/>
                <w:sz w:val="20"/>
              </w:rPr>
            </w:pPr>
            <w:r>
              <w:rPr>
                <w:rFonts w:ascii="Times New Roman" w:hAnsi="Times New Roman"/>
                <w:sz w:val="20"/>
              </w:rPr>
              <w:t>David J. Lennon, Ph.D.</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202"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May 29, 2026</w:t>
            </w:r>
          </w:p>
        </w:tc>
      </w:tr>
      <w:tr>
        <w:trPr>
          <w:trHeight w:val="240" w:hRule="atLeast"/>
        </w:trPr>
        <w:tc>
          <w:tcPr>
            <w:tcW w:w="4467"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67"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Scott Giacobello</w:t>
            </w:r>
          </w:p>
          <w:p>
            <w:pPr>
              <w:pStyle w:val="TableContents"/>
              <w:bidi w:val="0"/>
              <w:spacing w:before="0" w:after="20"/>
              <w:jc w:val="both"/>
              <w:rPr>
                <w:rFonts w:ascii="Times New Roman" w:hAnsi="Times New Roman"/>
                <w:sz w:val="20"/>
              </w:rPr>
            </w:pPr>
            <w:r>
              <w:rPr>
                <w:rFonts w:ascii="Times New Roman" w:hAnsi="Times New Roman"/>
                <w:sz w:val="20"/>
              </w:rPr>
              <w:t>Scott Giacobello</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and Accounting Officer)</w:t>
            </w:r>
          </w:p>
        </w:tc>
        <w:tc>
          <w:tcPr>
            <w:tcW w:w="202"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May 29, 2026</w:t>
            </w:r>
          </w:p>
        </w:tc>
      </w:tr>
      <w:tr>
        <w:trPr>
          <w:trHeight w:val="240" w:hRule="atLeast"/>
        </w:trPr>
        <w:tc>
          <w:tcPr>
            <w:tcW w:w="4467"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67"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Caley Castelein</w:t>
            </w:r>
          </w:p>
          <w:p>
            <w:pPr>
              <w:pStyle w:val="TableContents"/>
              <w:bidi w:val="0"/>
              <w:spacing w:before="0" w:after="20"/>
              <w:jc w:val="both"/>
              <w:rPr>
                <w:rFonts w:ascii="Times New Roman" w:hAnsi="Times New Roman"/>
                <w:sz w:val="20"/>
              </w:rPr>
            </w:pPr>
            <w:r>
              <w:rPr>
                <w:rFonts w:ascii="Times New Roman" w:hAnsi="Times New Roman"/>
                <w:sz w:val="20"/>
              </w:rPr>
              <w:t>Caley Castelein, M.D.</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283"/>
              <w:jc w:val="center"/>
              <w:rPr/>
            </w:pPr>
            <w:r>
              <w:rPr/>
              <w:t>Chair of the Board of Directors</w:t>
            </w:r>
          </w:p>
        </w:tc>
        <w:tc>
          <w:tcPr>
            <w:tcW w:w="202"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May 29, 2026</w:t>
            </w:r>
          </w:p>
        </w:tc>
      </w:tr>
      <w:tr>
        <w:trPr>
          <w:trHeight w:val="240" w:hRule="atLeast"/>
        </w:trPr>
        <w:tc>
          <w:tcPr>
            <w:tcW w:w="4467"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67"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Behzad Aghazadeh</w:t>
            </w:r>
          </w:p>
          <w:p>
            <w:pPr>
              <w:pStyle w:val="TableContents"/>
              <w:bidi w:val="0"/>
              <w:spacing w:before="0" w:after="20"/>
              <w:jc w:val="both"/>
              <w:rPr>
                <w:rFonts w:ascii="Times New Roman" w:hAnsi="Times New Roman"/>
                <w:sz w:val="20"/>
              </w:rPr>
            </w:pPr>
            <w:r>
              <w:rPr>
                <w:rFonts w:ascii="Times New Roman" w:hAnsi="Times New Roman"/>
                <w:sz w:val="20"/>
              </w:rPr>
              <w:t>Behzad Aghazadeh, Ph.D.</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May 29, 2026</w:t>
            </w:r>
          </w:p>
        </w:tc>
      </w:tr>
      <w:tr>
        <w:trPr>
          <w:trHeight w:val="240" w:hRule="atLeast"/>
        </w:trPr>
        <w:tc>
          <w:tcPr>
            <w:tcW w:w="4467"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67"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Anupam Dalal</w:t>
            </w:r>
          </w:p>
          <w:p>
            <w:pPr>
              <w:pStyle w:val="TableContents"/>
              <w:bidi w:val="0"/>
              <w:spacing w:before="0" w:after="20"/>
              <w:jc w:val="both"/>
              <w:rPr>
                <w:rFonts w:ascii="Times New Roman" w:hAnsi="Times New Roman"/>
                <w:sz w:val="20"/>
              </w:rPr>
            </w:pPr>
            <w:r>
              <w:rPr>
                <w:rFonts w:ascii="Times New Roman" w:hAnsi="Times New Roman"/>
                <w:sz w:val="20"/>
              </w:rPr>
              <w:t>Anupam Dalal, M.D.</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May 29, 2026</w:t>
            </w:r>
          </w:p>
        </w:tc>
      </w:tr>
      <w:tr>
        <w:trPr>
          <w:trHeight w:val="240" w:hRule="atLeast"/>
        </w:trPr>
        <w:tc>
          <w:tcPr>
            <w:tcW w:w="4467"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c>
          <w:tcPr>
            <w:tcW w:w="2100" w:type="dxa"/>
            <w:gridSpan w:val="2"/>
            <w:tcBorders/>
            <w:vAlign w:val="center"/>
          </w:tcPr>
          <w:p>
            <w:pPr>
              <w:pStyle w:val="TableContents"/>
              <w:bidi w:val="0"/>
              <w:spacing w:before="0" w:after="283"/>
              <w:jc w:val="left"/>
              <w:rPr>
                <w:sz w:val="4"/>
                <w:szCs w:val="4"/>
              </w:rPr>
            </w:pPr>
            <w:r>
              <w:rPr>
                <w:sz w:val="4"/>
                <w:szCs w:val="4"/>
              </w:rPr>
            </w:r>
          </w:p>
        </w:tc>
      </w:tr>
      <w:tr>
        <w:trPr/>
        <w:tc>
          <w:tcPr>
            <w:tcW w:w="4467"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Neil Desai</w:t>
            </w:r>
          </w:p>
          <w:p>
            <w:pPr>
              <w:pStyle w:val="TableContents"/>
              <w:bidi w:val="0"/>
              <w:spacing w:before="0" w:after="20"/>
              <w:jc w:val="both"/>
              <w:rPr>
                <w:rFonts w:ascii="Times New Roman" w:hAnsi="Times New Roman"/>
                <w:sz w:val="20"/>
              </w:rPr>
            </w:pPr>
            <w:r>
              <w:rPr>
                <w:rFonts w:ascii="Times New Roman" w:hAnsi="Times New Roman"/>
                <w:sz w:val="20"/>
              </w:rPr>
              <w:t>Neil Desai, Ph.D.</w:t>
            </w:r>
          </w:p>
        </w:tc>
        <w:tc>
          <w:tcPr>
            <w:tcW w:w="120" w:type="dxa"/>
            <w:tcBorders/>
            <w:vAlign w:val="bottom"/>
          </w:tcPr>
          <w:p>
            <w:pPr>
              <w:pStyle w:val="TableContents"/>
              <w:bidi w:val="0"/>
              <w:spacing w:before="0" w:after="283"/>
              <w:jc w:val="left"/>
              <w:rPr/>
            </w:pPr>
            <w:r>
              <w:rPr/>
              <w:t>  </w:t>
            </w:r>
          </w:p>
        </w:tc>
        <w:tc>
          <w:tcPr>
            <w:tcW w:w="3518"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8" w:type="dxa"/>
            <w:tcBorders/>
          </w:tcPr>
          <w:p>
            <w:pPr>
              <w:pStyle w:val="TableContents"/>
              <w:bidi w:val="0"/>
              <w:spacing w:before="0" w:after="283"/>
              <w:jc w:val="center"/>
              <w:rPr/>
            </w:pPr>
            <w:r>
              <w:rPr/>
              <w:t>May 29,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73"/>
        <w:gridCol w:w="122"/>
        <w:gridCol w:w="3485"/>
        <w:gridCol w:w="202"/>
        <w:gridCol w:w="1923"/>
      </w:tblGrid>
      <w:tr>
        <w:trPr/>
        <w:tc>
          <w:tcPr>
            <w:tcW w:w="44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34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9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73"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r>
      <w:tr>
        <w:trPr/>
        <w:tc>
          <w:tcPr>
            <w:tcW w:w="4473"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Mohammad Hirmand</w:t>
            </w:r>
          </w:p>
          <w:p>
            <w:pPr>
              <w:pStyle w:val="TableContents"/>
              <w:bidi w:val="0"/>
              <w:spacing w:before="0" w:after="20"/>
              <w:jc w:val="both"/>
              <w:rPr>
                <w:rFonts w:ascii="Times New Roman" w:hAnsi="Times New Roman"/>
                <w:sz w:val="20"/>
              </w:rPr>
            </w:pPr>
            <w:r>
              <w:rPr>
                <w:rFonts w:ascii="Times New Roman" w:hAnsi="Times New Roman"/>
                <w:sz w:val="20"/>
              </w:rPr>
              <w:t>Mohammad Hirmand, M.D.</w:t>
            </w:r>
          </w:p>
        </w:tc>
        <w:tc>
          <w:tcPr>
            <w:tcW w:w="122" w:type="dxa"/>
            <w:tcBorders/>
            <w:vAlign w:val="bottom"/>
          </w:tcPr>
          <w:p>
            <w:pPr>
              <w:pStyle w:val="TableContents"/>
              <w:bidi w:val="0"/>
              <w:spacing w:before="0" w:after="283"/>
              <w:jc w:val="left"/>
              <w:rPr/>
            </w:pPr>
            <w:r>
              <w:rPr/>
              <w:t>  </w:t>
            </w:r>
          </w:p>
        </w:tc>
        <w:tc>
          <w:tcPr>
            <w:tcW w:w="348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23" w:type="dxa"/>
            <w:tcBorders/>
          </w:tcPr>
          <w:p>
            <w:pPr>
              <w:pStyle w:val="TableContents"/>
              <w:bidi w:val="0"/>
              <w:spacing w:before="0" w:after="283"/>
              <w:jc w:val="center"/>
              <w:rPr/>
            </w:pPr>
            <w:r>
              <w:rPr/>
              <w:t>May 29, 2026</w:t>
            </w:r>
          </w:p>
        </w:tc>
      </w:tr>
      <w:tr>
        <w:trPr>
          <w:trHeight w:val="240" w:hRule="atLeast"/>
        </w:trPr>
        <w:tc>
          <w:tcPr>
            <w:tcW w:w="4473"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r>
      <w:tr>
        <w:trPr/>
        <w:tc>
          <w:tcPr>
            <w:tcW w:w="4473"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Richard Maroun</w:t>
            </w:r>
          </w:p>
          <w:p>
            <w:pPr>
              <w:pStyle w:val="TableContents"/>
              <w:bidi w:val="0"/>
              <w:spacing w:before="0" w:after="20"/>
              <w:jc w:val="both"/>
              <w:rPr>
                <w:rFonts w:ascii="Times New Roman" w:hAnsi="Times New Roman"/>
                <w:sz w:val="20"/>
              </w:rPr>
            </w:pPr>
            <w:r>
              <w:rPr>
                <w:rFonts w:ascii="Times New Roman" w:hAnsi="Times New Roman"/>
                <w:sz w:val="20"/>
              </w:rPr>
              <w:t>Richard Maroun, J.D.</w:t>
            </w:r>
          </w:p>
        </w:tc>
        <w:tc>
          <w:tcPr>
            <w:tcW w:w="122" w:type="dxa"/>
            <w:tcBorders/>
            <w:vAlign w:val="bottom"/>
          </w:tcPr>
          <w:p>
            <w:pPr>
              <w:pStyle w:val="TableContents"/>
              <w:bidi w:val="0"/>
              <w:spacing w:before="0" w:after="283"/>
              <w:jc w:val="left"/>
              <w:rPr/>
            </w:pPr>
            <w:r>
              <w:rPr/>
              <w:t>  </w:t>
            </w:r>
          </w:p>
        </w:tc>
        <w:tc>
          <w:tcPr>
            <w:tcW w:w="348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23" w:type="dxa"/>
            <w:tcBorders/>
          </w:tcPr>
          <w:p>
            <w:pPr>
              <w:pStyle w:val="TableContents"/>
              <w:bidi w:val="0"/>
              <w:spacing w:before="0" w:after="283"/>
              <w:jc w:val="center"/>
              <w:rPr/>
            </w:pPr>
            <w:r>
              <w:rPr/>
              <w:t>May 29, 2026</w:t>
            </w:r>
          </w:p>
        </w:tc>
      </w:tr>
      <w:tr>
        <w:trPr>
          <w:trHeight w:val="240" w:hRule="atLeast"/>
        </w:trPr>
        <w:tc>
          <w:tcPr>
            <w:tcW w:w="4473"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r>
      <w:tr>
        <w:trPr/>
        <w:tc>
          <w:tcPr>
            <w:tcW w:w="4473"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Emma Reeve</w:t>
            </w:r>
          </w:p>
          <w:p>
            <w:pPr>
              <w:pStyle w:val="TableContents"/>
              <w:bidi w:val="0"/>
              <w:spacing w:before="0" w:after="20"/>
              <w:jc w:val="both"/>
              <w:rPr>
                <w:rFonts w:ascii="Times New Roman" w:hAnsi="Times New Roman"/>
                <w:sz w:val="20"/>
              </w:rPr>
            </w:pPr>
            <w:r>
              <w:rPr>
                <w:rFonts w:ascii="Times New Roman" w:hAnsi="Times New Roman"/>
                <w:sz w:val="20"/>
              </w:rPr>
              <w:t>Emma Reeve</w:t>
            </w:r>
          </w:p>
        </w:tc>
        <w:tc>
          <w:tcPr>
            <w:tcW w:w="122" w:type="dxa"/>
            <w:tcBorders/>
            <w:vAlign w:val="bottom"/>
          </w:tcPr>
          <w:p>
            <w:pPr>
              <w:pStyle w:val="TableContents"/>
              <w:bidi w:val="0"/>
              <w:spacing w:before="0" w:after="283"/>
              <w:jc w:val="left"/>
              <w:rPr/>
            </w:pPr>
            <w:r>
              <w:rPr/>
              <w:t>  </w:t>
            </w:r>
          </w:p>
        </w:tc>
        <w:tc>
          <w:tcPr>
            <w:tcW w:w="348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23" w:type="dxa"/>
            <w:tcBorders/>
          </w:tcPr>
          <w:p>
            <w:pPr>
              <w:pStyle w:val="TableContents"/>
              <w:bidi w:val="0"/>
              <w:spacing w:before="0" w:after="283"/>
              <w:jc w:val="center"/>
              <w:rPr/>
            </w:pPr>
            <w:r>
              <w:rPr/>
              <w:t>May 29, 2026</w:t>
            </w:r>
          </w:p>
        </w:tc>
      </w:tr>
      <w:tr>
        <w:trPr>
          <w:trHeight w:val="240" w:hRule="atLeast"/>
        </w:trPr>
        <w:tc>
          <w:tcPr>
            <w:tcW w:w="4473"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r>
      <w:tr>
        <w:trPr/>
        <w:tc>
          <w:tcPr>
            <w:tcW w:w="4473" w:type="dxa"/>
            <w:tcBorders/>
          </w:tcPr>
          <w:p>
            <w:pPr>
              <w:pStyle w:val="TableContents"/>
              <w:pBdr>
                <w:bottom w:val="single" w:sz="2" w:space="1" w:color="000000"/>
              </w:pBdr>
              <w:bidi w:val="0"/>
              <w:spacing w:before="0" w:after="0"/>
              <w:jc w:val="both"/>
              <w:rPr>
                <w:rFonts w:ascii="Times New Roman" w:hAnsi="Times New Roman"/>
                <w:sz w:val="20"/>
              </w:rPr>
            </w:pPr>
            <w:r>
              <w:rPr>
                <w:rFonts w:ascii="Times New Roman" w:hAnsi="Times New Roman"/>
                <w:sz w:val="20"/>
              </w:rPr>
              <w:t>/s/ Baiteng Zhao</w:t>
            </w:r>
          </w:p>
          <w:p>
            <w:pPr>
              <w:pStyle w:val="TableContents"/>
              <w:bidi w:val="0"/>
              <w:spacing w:before="0" w:after="20"/>
              <w:jc w:val="both"/>
              <w:rPr>
                <w:rFonts w:ascii="Times New Roman" w:hAnsi="Times New Roman"/>
                <w:sz w:val="20"/>
              </w:rPr>
            </w:pPr>
            <w:r>
              <w:rPr>
                <w:rFonts w:ascii="Times New Roman" w:hAnsi="Times New Roman"/>
                <w:sz w:val="20"/>
              </w:rPr>
              <w:t>Baiteng Zhao, Ph.D.</w:t>
            </w:r>
          </w:p>
        </w:tc>
        <w:tc>
          <w:tcPr>
            <w:tcW w:w="122" w:type="dxa"/>
            <w:tcBorders/>
            <w:vAlign w:val="bottom"/>
          </w:tcPr>
          <w:p>
            <w:pPr>
              <w:pStyle w:val="TableContents"/>
              <w:bidi w:val="0"/>
              <w:spacing w:before="0" w:after="283"/>
              <w:jc w:val="left"/>
              <w:rPr/>
            </w:pPr>
            <w:r>
              <w:rPr/>
              <w:t>  </w:t>
            </w:r>
          </w:p>
        </w:tc>
        <w:tc>
          <w:tcPr>
            <w:tcW w:w="348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923" w:type="dxa"/>
            <w:tcBorders/>
          </w:tcPr>
          <w:p>
            <w:pPr>
              <w:pStyle w:val="TableContents"/>
              <w:bidi w:val="0"/>
              <w:spacing w:before="0" w:after="283"/>
              <w:jc w:val="center"/>
              <w:rPr/>
            </w:pPr>
            <w:r>
              <w:rPr/>
              <w:t>May 29, 2026</w:t>
            </w:r>
          </w:p>
        </w:tc>
      </w:tr>
    </w:tbl>
    <w:p>
      <w:pPr>
        <w:pStyle w:val="TextBody"/>
        <w:bidi w:val="0"/>
        <w:spacing w:before="0" w:after="0"/>
        <w:jc w:val="right"/>
        <w:rPr>
          <w:rFonts w:ascii="Times New Roman" w:hAnsi="Times New Roman"/>
          <w:b/>
          <w:sz w:val="20"/>
        </w:rPr>
      </w:pPr>
      <w:bookmarkStart w:id="14" w:name="d155546dex51.htm"/>
      <w:bookmarkStart w:id="15" w:name="ksd155546dex51"/>
      <w:bookmarkEnd w:id="14"/>
      <w:bookmarkEnd w:id="1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7"/>
        <w:gridCol w:w="122"/>
        <w:gridCol w:w="2706"/>
      </w:tblGrid>
      <w:tr>
        <w:trPr/>
        <w:tc>
          <w:tcPr>
            <w:tcW w:w="737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r>
      <w:tr>
        <w:trPr/>
        <w:tc>
          <w:tcPr>
            <w:tcW w:w="7377" w:type="dxa"/>
            <w:tcBorders/>
          </w:tcPr>
          <w:p>
            <w:pPr>
              <w:pStyle w:val="TableContents"/>
              <w:bidi w:val="0"/>
              <w:spacing w:before="0" w:after="283"/>
              <w:jc w:val="left"/>
              <w:rPr/>
            </w:pPr>
            <w:r>
              <w:rPr/>
              <w:drawing>
                <wp:inline distT="0" distB="0" distL="0" distR="0">
                  <wp:extent cx="1285875"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285875" cy="55245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2706"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12235 El Camino Real</w:t>
            </w:r>
          </w:p>
          <w:p>
            <w:pPr>
              <w:pStyle w:val="TableContents"/>
              <w:bidi w:val="0"/>
              <w:spacing w:before="0" w:after="0"/>
              <w:jc w:val="left"/>
              <w:rPr>
                <w:rFonts w:ascii="Times New Roman" w:hAnsi="Times New Roman"/>
                <w:sz w:val="20"/>
              </w:rPr>
            </w:pPr>
            <w:r>
              <w:rPr>
                <w:rFonts w:ascii="Times New Roman" w:hAnsi="Times New Roman"/>
                <w:sz w:val="20"/>
              </w:rPr>
              <w:t>San Diego, California 92130-3002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858.350.2300</w:t>
            </w:r>
          </w:p>
          <w:p>
            <w:pPr>
              <w:pStyle w:val="TableContents"/>
              <w:bidi w:val="0"/>
              <w:spacing w:before="0" w:after="20"/>
              <w:jc w:val="left"/>
              <w:rPr>
                <w:rFonts w:ascii="Times New Roman" w:hAnsi="Times New Roman"/>
                <w:sz w:val="20"/>
              </w:rPr>
            </w:pPr>
            <w:r>
              <w:rPr>
                <w:rFonts w:ascii="Times New Roman" w:hAnsi="Times New Roman"/>
                <w:sz w:val="20"/>
              </w:rP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May 29, 2026 </w:t>
      </w:r>
    </w:p>
    <w:p>
      <w:pPr>
        <w:pStyle w:val="TextBody"/>
        <w:bidi w:val="0"/>
        <w:spacing w:before="240" w:after="0"/>
        <w:jc w:val="left"/>
        <w:rPr>
          <w:rFonts w:ascii="Times New Roman" w:hAnsi="Times New Roman"/>
          <w:sz w:val="20"/>
        </w:rPr>
      </w:pPr>
      <w:r>
        <w:rPr>
          <w:rFonts w:ascii="Times New Roman" w:hAnsi="Times New Roman"/>
          <w:sz w:val="20"/>
        </w:rPr>
        <w:t xml:space="preserve">Whitehawk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 Headquarters Plaza </w:t>
      </w:r>
    </w:p>
    <w:p>
      <w:pPr>
        <w:pStyle w:val="TextBody"/>
        <w:bidi w:val="0"/>
        <w:spacing w:before="0" w:after="0"/>
        <w:jc w:val="left"/>
        <w:rPr>
          <w:rFonts w:ascii="Times New Roman" w:hAnsi="Times New Roman"/>
          <w:sz w:val="20"/>
        </w:rPr>
      </w:pPr>
      <w:r>
        <w:rPr>
          <w:rFonts w:ascii="Times New Roman" w:hAnsi="Times New Roman"/>
          <w:sz w:val="20"/>
        </w:rPr>
        <w:t xml:space="preserve">East Building, 11th Floor </w:t>
      </w:r>
    </w:p>
    <w:p>
      <w:pPr>
        <w:pStyle w:val="TextBody"/>
        <w:bidi w:val="0"/>
        <w:spacing w:before="0" w:after="0"/>
        <w:jc w:val="left"/>
        <w:rPr>
          <w:rFonts w:ascii="Times New Roman" w:hAnsi="Times New Roman"/>
          <w:sz w:val="20"/>
        </w:rPr>
      </w:pPr>
      <w:r>
        <w:rPr>
          <w:rFonts w:ascii="Times New Roman" w:hAnsi="Times New Roman"/>
          <w:sz w:val="20"/>
        </w:rPr>
        <w:t xml:space="preserve">Morristown, NJ 07960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opinion is furnished to you in connection with the Registration Statement on Form S-3 (the “</w:t>
      </w:r>
      <w:r>
        <w:rPr>
          <w:rFonts w:ascii="Times New Roman" w:hAnsi="Times New Roman"/>
          <w:sz w:val="20"/>
          <w:u w:val="single"/>
        </w:rPr>
        <w:t>Registration Statement</w:t>
      </w:r>
      <w:r>
        <w:rPr>
          <w:rFonts w:ascii="Times New Roman" w:hAnsi="Times New Roman"/>
          <w:sz w:val="20"/>
        </w:rPr>
        <w:t>”), filed by Whitehawk Therapeutics, Inc., a Delaware corporation (the “</w:t>
      </w:r>
      <w:r>
        <w:rPr>
          <w:rFonts w:ascii="Times New Roman" w:hAnsi="Times New Roman"/>
          <w:sz w:val="20"/>
          <w:u w:val="single"/>
        </w:rPr>
        <w:t>Company</w:t>
      </w:r>
      <w:r>
        <w:rPr>
          <w:rFonts w:ascii="Times New Roman" w:hAnsi="Times New Roman"/>
          <w:sz w:val="20"/>
        </w:rPr>
        <w:t>”) with the United States Securities and Exchange Commission (the “</w:t>
      </w:r>
      <w:r>
        <w:rPr>
          <w:rFonts w:ascii="Times New Roman" w:hAnsi="Times New Roman"/>
          <w:sz w:val="20"/>
          <w:u w:val="single"/>
        </w:rPr>
        <w:t>Commission</w:t>
      </w:r>
      <w:r>
        <w:rPr>
          <w:rFonts w:ascii="Times New Roman" w:hAnsi="Times New Roman"/>
          <w:sz w:val="20"/>
        </w:rPr>
        <w:t>”) on the date hereof in connection with the registration under the Securities Act of 1933, as amended (the “</w:t>
      </w:r>
      <w:r>
        <w:rPr>
          <w:rFonts w:ascii="Times New Roman" w:hAnsi="Times New Roman"/>
          <w:sz w:val="20"/>
          <w:u w:val="single"/>
        </w:rPr>
        <w:t>Securities Act</w:t>
      </w:r>
      <w:r>
        <w:rPr>
          <w:rFonts w:ascii="Times New Roman" w:hAnsi="Times New Roman"/>
          <w:sz w:val="20"/>
        </w:rPr>
        <w:t>”), of the offer and resale of an aggregate of 22,321,887 shares (the “</w:t>
      </w:r>
      <w:r>
        <w:rPr>
          <w:rFonts w:ascii="Times New Roman" w:hAnsi="Times New Roman"/>
          <w:sz w:val="20"/>
          <w:u w:val="single"/>
        </w:rPr>
        <w:t>Shares</w:t>
      </w:r>
      <w:r>
        <w:rPr>
          <w:rFonts w:ascii="Times New Roman" w:hAnsi="Times New Roman"/>
          <w:sz w:val="20"/>
        </w:rPr>
        <w:t>”) of the Company’s common stock, $0.0001 par value per share (the “</w:t>
      </w:r>
      <w:r>
        <w:rPr>
          <w:rFonts w:ascii="Times New Roman" w:hAnsi="Times New Roman"/>
          <w:sz w:val="20"/>
          <w:u w:val="single"/>
        </w:rPr>
        <w:t>Common Stock</w:t>
      </w:r>
      <w:r>
        <w:rPr>
          <w:rFonts w:ascii="Times New Roman" w:hAnsi="Times New Roman"/>
          <w:sz w:val="20"/>
        </w:rPr>
        <w:t>”). All of the Shares are being registered for resale on behalf of certain stockholders of the Company, including their transferees, pledgees or donees or their respective successors (the “</w:t>
      </w:r>
      <w:r>
        <w:rPr>
          <w:rFonts w:ascii="Times New Roman" w:hAnsi="Times New Roman"/>
          <w:sz w:val="20"/>
          <w:u w:val="single"/>
        </w:rPr>
        <w:t>Selling Stockholders</w:t>
      </w:r>
      <w:r>
        <w:rPr>
          <w:rFonts w:ascii="Times New Roman" w:hAnsi="Times New Roman"/>
          <w:sz w:val="20"/>
        </w:rPr>
        <w:t>”), pursuant to a Registration Rights Agreement, dated May 14, 2026, by and among the Company and the Selling Stockholders (the “</w:t>
      </w:r>
      <w:r>
        <w:rPr>
          <w:rFonts w:ascii="Times New Roman" w:hAnsi="Times New Roman"/>
          <w:sz w:val="20"/>
          <w:u w:val="single"/>
        </w:rPr>
        <w:t>Registration Rights Agreement</w:t>
      </w:r>
      <w:r>
        <w:rPr>
          <w:rFonts w:ascii="Times New Roman" w:hAnsi="Times New Roman"/>
          <w:sz w:val="20"/>
        </w:rPr>
        <w:t>”). The Shares consist of (i) 4,330,866 outstanding shares of Common Stock (the “</w:t>
      </w:r>
      <w:r>
        <w:rPr>
          <w:rFonts w:ascii="Times New Roman" w:hAnsi="Times New Roman"/>
          <w:sz w:val="20"/>
          <w:u w:val="single"/>
        </w:rPr>
        <w:t>Common Shares</w:t>
      </w:r>
      <w:r>
        <w:rPr>
          <w:rFonts w:ascii="Times New Roman" w:hAnsi="Times New Roman"/>
          <w:sz w:val="20"/>
        </w:rPr>
        <w:t>”) that are held by certain of the Selling Stockholders and (ii) 17,991,021 shares of Common Stock issuable upon the exercise of outstanding pre-funded warrants (the “</w:t>
      </w:r>
      <w:r>
        <w:rPr>
          <w:rFonts w:ascii="Times New Roman" w:hAnsi="Times New Roman"/>
          <w:sz w:val="20"/>
          <w:u w:val="single"/>
        </w:rPr>
        <w:t>Warrants</w:t>
      </w:r>
      <w:r>
        <w:rPr>
          <w:rFonts w:ascii="Times New Roman" w:hAnsi="Times New Roman"/>
          <w:sz w:val="20"/>
        </w:rPr>
        <w:t>”) to purchase shares of Common Stock (the “</w:t>
      </w:r>
      <w:r>
        <w:rPr>
          <w:rFonts w:ascii="Times New Roman" w:hAnsi="Times New Roman"/>
          <w:sz w:val="20"/>
          <w:u w:val="single"/>
        </w:rPr>
        <w:t>Warrant Shares</w:t>
      </w:r>
      <w:r>
        <w:rPr>
          <w:rFonts w:ascii="Times New Roman" w:hAnsi="Times New Roman"/>
          <w:sz w:val="20"/>
        </w:rPr>
        <w:t xml:space="preserve">”) that are held by certain of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counsel for the Company in connection with the registration of the Shares for offer and resale.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reviewed originals or copies of such corporate records of the Company, certificates of public officials, a certificate of an officer of the Company as to factual matters and such other documents which we consider necessary or advisable for the purpose of rendering the opinions set forth below. We have not independently established the facts stated therein. </w:t>
      </w:r>
    </w:p>
    <w:p>
      <w:pPr>
        <w:pStyle w:val="TextBody"/>
        <w:bidi w:val="0"/>
        <w:spacing w:before="240" w:after="0"/>
        <w:jc w:val="left"/>
        <w:rPr>
          <w:rFonts w:ascii="Times New Roman" w:hAnsi="Times New Roman"/>
          <w:sz w:val="20"/>
        </w:rPr>
      </w:pPr>
      <w:r>
        <w:rPr>
          <w:rFonts w:ascii="Times New Roman" w:hAnsi="Times New Roman"/>
          <w:sz w:val="20"/>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also assumed the conformity of the documents filed with the Commission via the Electronic Data Gathering, Analysis and Retrieval System (“</w:t>
      </w:r>
      <w:r>
        <w:rPr>
          <w:rFonts w:ascii="Times New Roman" w:hAnsi="Times New Roman"/>
          <w:sz w:val="20"/>
          <w:u w:val="single"/>
        </w:rPr>
        <w:t>EDGAR</w:t>
      </w:r>
      <w:r>
        <w:rPr>
          <w:rFonts w:ascii="Times New Roman" w:hAnsi="Times New Roman"/>
          <w:sz w:val="20"/>
        </w:rPr>
        <w:t xml:space="preserve">”),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 We express no opinion as to any matter relating to the laws of any jurisdiction other than the federal laws of the United States of America and the General Corporation Law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AUSTIN  BEIJING  BOSTON  BOULDER  BRUSSELS  HONG KONG  LONDON  LOS ANGELES  NEW YORK  PALO ALTO </w:t>
      </w:r>
    </w:p>
    <w:p>
      <w:pPr>
        <w:pStyle w:val="TextBody"/>
        <w:bidi w:val="0"/>
        <w:spacing w:before="0" w:after="0"/>
        <w:jc w:val="center"/>
        <w:rPr>
          <w:rFonts w:ascii="Times New Roman" w:hAnsi="Times New Roman"/>
          <w:sz w:val="20"/>
        </w:rPr>
      </w:pPr>
      <w:r>
        <w:rPr>
          <w:rFonts w:ascii="Times New Roman" w:hAnsi="Times New Roman"/>
          <w:sz w:val="20"/>
        </w:rPr>
        <w:t xml:space="preserve">SALT LAKE CITY  SAN DIEGO  SAN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14375"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714375"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qualifications, assumptions and limitations and the further limitations set forth below,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Common Shares have been duly authorized and are validly issued, fully paid and nonassessable;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have been duly authorized and, when issued in accordance with the terms of the Warrants, will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we consent to the reference of our name under the caption “Legal Matters” in the prospectus forming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to you in connection with the filing of the Registration Statement, and is not to be used, circulated, quoted or otherwise relied upon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Wilson Sonsini Goodrich &amp; Rosati </w:t>
      </w:r>
    </w:p>
    <w:p>
      <w:pPr>
        <w:pStyle w:val="TextBody"/>
        <w:bidi w:val="0"/>
        <w:spacing w:before="240" w:after="0"/>
        <w:jc w:val="left"/>
        <w:rPr>
          <w:rFonts w:ascii="Times New Roman" w:hAnsi="Times New Roman"/>
          <w:sz w:val="20"/>
        </w:rPr>
      </w:pPr>
      <w:r>
        <w:rPr>
          <w:rFonts w:ascii="Times New Roman" w:hAnsi="Times New Roman"/>
          <w:sz w:val="20"/>
        </w:rPr>
        <w:t xml:space="preserve">WILSON SONSINI GOODRICH &amp; ROSATI </w:t>
      </w:r>
    </w:p>
    <w:p>
      <w:pPr>
        <w:pStyle w:val="TextBody"/>
        <w:bidi w:val="0"/>
        <w:spacing w:before="0" w:after="0"/>
        <w:jc w:val="left"/>
        <w:rPr>
          <w:rFonts w:ascii="Times New Roman" w:hAnsi="Times New Roman"/>
          <w:sz w:val="20"/>
        </w:rPr>
      </w:pPr>
      <w:r>
        <w:rPr>
          <w:rFonts w:ascii="Times New Roman" w:hAnsi="Times New Roman"/>
          <w:sz w:val="20"/>
        </w:rPr>
        <w:t xml:space="preserve">Professional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16" w:name="d155546dex102.htm"/>
      <w:bookmarkStart w:id="17" w:name="ksd155546dex102"/>
      <w:bookmarkEnd w:id="16"/>
      <w:bookmarkEnd w:id="17"/>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both"/>
        <w:rPr>
          <w:rFonts w:ascii="Times New Roman" w:hAnsi="Times New Roman"/>
          <w:sz w:val="20"/>
        </w:rPr>
      </w:pPr>
      <w:r>
        <w:rPr>
          <w:rFonts w:ascii="Times New Roman" w:hAnsi="Times New Roman"/>
          <w:sz w:val="20"/>
        </w:rPr>
        <w:t>This REGISTRATION RIGHTS AGREEMENT (the “</w:t>
      </w:r>
      <w:r>
        <w:rPr>
          <w:rFonts w:ascii="Times New Roman" w:hAnsi="Times New Roman"/>
          <w:sz w:val="20"/>
          <w:u w:val="single"/>
        </w:rPr>
        <w:t>Agreement</w:t>
      </w:r>
      <w:r>
        <w:rPr>
          <w:rFonts w:ascii="Times New Roman" w:hAnsi="Times New Roman"/>
          <w:sz w:val="20"/>
        </w:rPr>
        <w:t>”) is made and entered into as of May 14, 2026 by and among Whitehawk Therapeutics, Inc., a corporation organized and existing under the laws of the State of Delaware (the “</w:t>
      </w:r>
      <w:r>
        <w:rPr>
          <w:rFonts w:ascii="Times New Roman" w:hAnsi="Times New Roman"/>
          <w:sz w:val="20"/>
          <w:u w:val="single"/>
        </w:rPr>
        <w:t>Company</w:t>
      </w:r>
      <w:r>
        <w:rPr>
          <w:rFonts w:ascii="Times New Roman" w:hAnsi="Times New Roman"/>
          <w:sz w:val="20"/>
        </w:rPr>
        <w:t>”), the several purchasers signatory hereto (each,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WHEREAS, the Company and the Purchasers are parties to a Securities Purchase Agreement, dated as of May 12, 2026 (the “</w:t>
      </w:r>
      <w:r>
        <w:rPr>
          <w:rFonts w:ascii="Times New Roman" w:hAnsi="Times New Roman"/>
          <w:sz w:val="20"/>
          <w:u w:val="single"/>
        </w:rPr>
        <w:t>Purchase Agreement</w:t>
      </w:r>
      <w:r>
        <w:rPr>
          <w:rFonts w:ascii="Times New Roman" w:hAnsi="Times New Roman"/>
          <w:sz w:val="20"/>
        </w:rPr>
        <w:t xml:space="preserve">”), pursuant to which the Purchasers are purchasing shares of capital stock and/or pre-funded warrants of the Company; and </w:t>
      </w:r>
    </w:p>
    <w:p>
      <w:pPr>
        <w:pStyle w:val="TextBody"/>
        <w:bidi w:val="0"/>
        <w:spacing w:before="240" w:after="0"/>
        <w:jc w:val="both"/>
        <w:rPr>
          <w:rFonts w:ascii="Times New Roman" w:hAnsi="Times New Roman"/>
          <w:sz w:val="20"/>
        </w:rPr>
      </w:pPr>
      <w:r>
        <w:rPr>
          <w:rFonts w:ascii="Times New Roman" w:hAnsi="Times New Roman"/>
          <w:sz w:val="20"/>
        </w:rPr>
        <w:t xml:space="preserve">WHEREAS, in connection with the consummation of the transactions contemplated by the Purchase Agreement, and pursuant to the terms of the Purchase Agreement, the parties desire to enter into this Agreement in order to grant certain rights to the Purchasers as set forth below. </w:t>
      </w:r>
    </w:p>
    <w:p>
      <w:pPr>
        <w:pStyle w:val="TextBody"/>
        <w:bidi w:val="0"/>
        <w:spacing w:before="240" w:after="0"/>
        <w:jc w:val="both"/>
        <w:rPr>
          <w:rFonts w:ascii="Times New Roman" w:hAnsi="Times New Roman"/>
          <w:sz w:val="20"/>
        </w:rPr>
      </w:pPr>
      <w:r>
        <w:rPr>
          <w:rFonts w:ascii="Times New Roman" w:hAnsi="Times New Roman"/>
          <w:sz w:val="20"/>
        </w:rPr>
        <w:t xml:space="preserve">NOW, THEREFORE, in consideration of the covenants and promises set forth herein, and for other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Unless the context otherwise requires, the following terms, for all purposes of this Agreement, shall have the meanings specified in this Section 1. Capitalized terms used and not otherwise defined herein that are defined in the Purchase Agreement shall have the meanings given such terms in the Purchase Agreement. </w:t>
      </w:r>
    </w:p>
    <w:p>
      <w:pPr>
        <w:pStyle w:val="TextBody"/>
        <w:bidi w:val="0"/>
        <w:spacing w:before="240" w:after="0"/>
        <w:jc w:val="both"/>
        <w:rPr/>
      </w:pPr>
      <w:r>
        <w:rPr/>
        <w:t>“</w:t>
      </w:r>
      <w:r>
        <w:rPr>
          <w:rFonts w:ascii="Times New Roman" w:hAnsi="Times New Roman"/>
          <w:sz w:val="20"/>
          <w:u w:val="single"/>
        </w:rPr>
        <w:t>Agreement</w:t>
      </w:r>
      <w:r>
        <w:rPr>
          <w:rFonts w:ascii="Times New Roman" w:hAnsi="Times New Roman"/>
          <w:sz w:val="20"/>
        </w:rPr>
        <w:t xml:space="preserve">” has the meaning set forth in the recitals. </w:t>
      </w:r>
    </w:p>
    <w:p>
      <w:pPr>
        <w:pStyle w:val="TextBody"/>
        <w:bidi w:val="0"/>
        <w:spacing w:before="240" w:after="0"/>
        <w:jc w:val="both"/>
        <w:rPr/>
      </w:pPr>
      <w:r>
        <w:rPr/>
        <w:t>“</w:t>
      </w:r>
      <w:r>
        <w:rPr>
          <w:rFonts w:ascii="Times New Roman" w:hAnsi="Times New Roman"/>
          <w:sz w:val="20"/>
          <w:u w:val="single"/>
        </w:rPr>
        <w:t>Allowed Delay</w:t>
      </w:r>
      <w:r>
        <w:rPr>
          <w:rFonts w:ascii="Times New Roman" w:hAnsi="Times New Roman"/>
          <w:sz w:val="20"/>
        </w:rPr>
        <w:t xml:space="preserve">” has the meaning set forth in Section 2.1(b)(ii). </w:t>
      </w:r>
    </w:p>
    <w:p>
      <w:pPr>
        <w:pStyle w:val="TextBody"/>
        <w:bidi w:val="0"/>
        <w:spacing w:before="240" w:after="0"/>
        <w:jc w:val="both"/>
        <w:rPr/>
      </w:pPr>
      <w:r>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both"/>
        <w:rPr/>
      </w:pPr>
      <w:r>
        <w:rPr/>
        <w:t>“</w:t>
      </w:r>
      <w:r>
        <w:rPr>
          <w:rFonts w:ascii="Times New Roman" w:hAnsi="Times New Roman"/>
          <w:sz w:val="20"/>
          <w:u w:val="single"/>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both"/>
        <w:rPr/>
      </w:pPr>
      <w:r>
        <w:rPr/>
        <w:t>“</w:t>
      </w:r>
      <w:r>
        <w:rPr>
          <w:rFonts w:ascii="Times New Roman" w:hAnsi="Times New Roman"/>
          <w:sz w:val="20"/>
          <w:u w:val="single"/>
        </w:rPr>
        <w:t>Common Stock</w:t>
      </w:r>
      <w:r>
        <w:rPr>
          <w:rFonts w:ascii="Times New Roman" w:hAnsi="Times New Roman"/>
          <w:sz w:val="20"/>
        </w:rPr>
        <w:t xml:space="preserve">” means shares of the common stock, par value $0.0001 per share, of the Company. </w:t>
      </w:r>
    </w:p>
    <w:p>
      <w:pPr>
        <w:pStyle w:val="TextBody"/>
        <w:bidi w:val="0"/>
        <w:spacing w:before="240" w:after="0"/>
        <w:jc w:val="both"/>
        <w:rPr/>
      </w:pPr>
      <w:r>
        <w:rPr/>
        <w:t>“</w:t>
      </w:r>
      <w:r>
        <w:rPr>
          <w:rFonts w:ascii="Times New Roman" w:hAnsi="Times New Roman"/>
          <w:sz w:val="20"/>
          <w:u w:val="single"/>
        </w:rPr>
        <w:t>Company</w:t>
      </w:r>
      <w:r>
        <w:rPr>
          <w:rFonts w:ascii="Times New Roman" w:hAnsi="Times New Roman"/>
          <w:sz w:val="20"/>
        </w:rPr>
        <w:t>” has the meaning set forth in the recitals</w:t>
      </w:r>
      <w:r>
        <w:rPr>
          <w:rFonts w:ascii="Times New Roman" w:hAnsi="Times New Roman"/>
          <w:i/>
          <w:sz w:val="20"/>
        </w:rPr>
        <w:t>.</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Effectiveness Deadline</w:t>
      </w:r>
      <w:r>
        <w:rPr>
          <w:rFonts w:ascii="Times New Roman" w:hAnsi="Times New Roman"/>
          <w:sz w:val="20"/>
        </w:rPr>
        <w:t xml:space="preserve">” means, with respect to the Shelf Registration Statement or New Registration Statement, the sixtieth (60th) calendar day following the Closing Date (or, in the event the SEC reviews and has written comments to the Shelf Registration Statement or the New Registration Statement, the ninetieth (90th) calendar day following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is notified by the SEC (either orally or in writing, whichever is earlier) that the Shelf Registration Statement or the New Registration Statement will not be reviewed or is no longer subject to further review and comments, the Effectiveness Deadline as to such Shelf Registration Statement shall be the fifth (5th) Business Day following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date on which the Company is so notified if such date precedes the dates otherwise required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Effectiveness Deadline falls on a Saturday, Sunday or other day that the SEC is closed for business, the Effectiveness Deadline shall be extended to the next Business Day on which the SEC is open for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SEC is closed for operations due to a government shutdown or lapse in appropriations, the Effectiveness Deadline shall be extended by the same amount of days that the SEC remains closed for operations. </w:t>
      </w:r>
    </w:p>
    <w:p>
      <w:pPr>
        <w:pStyle w:val="TextBody"/>
        <w:bidi w:val="0"/>
        <w:spacing w:before="240" w:after="0"/>
        <w:jc w:val="both"/>
        <w:rPr/>
      </w:pPr>
      <w:r>
        <w:rPr/>
        <w:t>“</w:t>
      </w:r>
      <w:r>
        <w:rPr>
          <w:rFonts w:ascii="Times New Roman" w:hAnsi="Times New Roman"/>
          <w:sz w:val="20"/>
          <w:u w:val="single"/>
        </w:rPr>
        <w:t>Effectiveness Period</w:t>
      </w:r>
      <w:r>
        <w:rPr>
          <w:rFonts w:ascii="Times New Roman" w:hAnsi="Times New Roman"/>
          <w:sz w:val="20"/>
        </w:rPr>
        <w:t xml:space="preserve">” has the meaning set forth in Section 2.1(b)(i). </w:t>
      </w:r>
    </w:p>
    <w:p>
      <w:pPr>
        <w:pStyle w:val="TextBody"/>
        <w:bidi w:val="0"/>
        <w:spacing w:before="240" w:after="0"/>
        <w:jc w:val="both"/>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of the SEC promulgated thereunder. </w:t>
      </w:r>
    </w:p>
    <w:p>
      <w:pPr>
        <w:pStyle w:val="TextBody"/>
        <w:bidi w:val="0"/>
        <w:spacing w:before="240" w:after="0"/>
        <w:jc w:val="both"/>
        <w:rPr/>
      </w:pPr>
      <w:r>
        <w:rPr/>
        <w:t>“</w:t>
      </w:r>
      <w:r>
        <w:rPr>
          <w:rFonts w:ascii="Times New Roman" w:hAnsi="Times New Roman"/>
          <w:sz w:val="20"/>
          <w:u w:val="single"/>
        </w:rPr>
        <w:t>Filing Deadline</w:t>
      </w:r>
      <w:r>
        <w:rPr>
          <w:rFonts w:ascii="Times New Roman" w:hAnsi="Times New Roman"/>
          <w:sz w:val="20"/>
        </w:rPr>
        <w:t xml:space="preserve">” has the meaning set forth in Section 2.1(a). </w:t>
      </w:r>
    </w:p>
    <w:p>
      <w:pPr>
        <w:pStyle w:val="TextBody"/>
        <w:bidi w:val="0"/>
        <w:spacing w:before="240" w:after="0"/>
        <w:jc w:val="both"/>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both"/>
        <w:rPr/>
      </w:pPr>
      <w:r>
        <w:rPr/>
        <w:t>“</w:t>
      </w:r>
      <w:r>
        <w:rPr>
          <w:rFonts w:ascii="Times New Roman" w:hAnsi="Times New Roman"/>
          <w:sz w:val="20"/>
          <w:u w:val="single"/>
        </w:rPr>
        <w:t>Form S-3</w:t>
      </w:r>
      <w:r>
        <w:rPr>
          <w:rFonts w:ascii="Times New Roman" w:hAnsi="Times New Roman"/>
          <w:sz w:val="20"/>
        </w:rPr>
        <w:t xml:space="preserve">” means such form under the Securities Act as in effect on the date hereof or any successor or similar registration form under the Securities Act subsequently adopted by the SEC that permits inclusion or incorporation of substantial information by reference to other documents filed by the Company with the SEC. </w:t>
      </w:r>
    </w:p>
    <w:p>
      <w:pPr>
        <w:pStyle w:val="TextBody"/>
        <w:bidi w:val="0"/>
        <w:spacing w:before="240" w:after="0"/>
        <w:jc w:val="both"/>
        <w:rPr/>
      </w:pPr>
      <w:r>
        <w:rPr/>
        <w:t>“</w:t>
      </w:r>
      <w:r>
        <w:rPr>
          <w:rFonts w:ascii="Times New Roman" w:hAnsi="Times New Roman"/>
          <w:sz w:val="20"/>
          <w:u w:val="single"/>
        </w:rPr>
        <w:t>Free Writing Prospectus</w:t>
      </w:r>
      <w:r>
        <w:rPr>
          <w:rFonts w:ascii="Times New Roman" w:hAnsi="Times New Roman"/>
          <w:sz w:val="20"/>
        </w:rPr>
        <w:t xml:space="preserve">” means an issuer free writing prospectus, as defined in Rule 433 under the Securities Act, relating to an offer of Registrable Securities. </w:t>
      </w:r>
    </w:p>
    <w:p>
      <w:pPr>
        <w:pStyle w:val="TextBody"/>
        <w:bidi w:val="0"/>
        <w:spacing w:before="240" w:after="0"/>
        <w:jc w:val="both"/>
        <w:rPr/>
      </w:pPr>
      <w:r>
        <w:rPr/>
        <w:t>“</w:t>
      </w:r>
      <w:r>
        <w:rPr>
          <w:rFonts w:ascii="Times New Roman" w:hAnsi="Times New Roman"/>
          <w:sz w:val="20"/>
          <w:u w:val="single"/>
        </w:rPr>
        <w:t>Holder</w:t>
      </w:r>
      <w:r>
        <w:rPr>
          <w:rFonts w:ascii="Times New Roman" w:hAnsi="Times New Roman"/>
          <w:sz w:val="20"/>
        </w:rPr>
        <w:t xml:space="preserve">” means any Purchaser or its permitted assignee owning or having the right to acquire Registrable Securities. </w:t>
      </w:r>
    </w:p>
    <w:p>
      <w:pPr>
        <w:pStyle w:val="TextBody"/>
        <w:bidi w:val="0"/>
        <w:spacing w:before="240" w:after="0"/>
        <w:jc w:val="both"/>
        <w:rPr/>
      </w:pPr>
      <w:r>
        <w:rPr/>
        <w:t>“</w:t>
      </w:r>
      <w:r>
        <w:rPr>
          <w:rFonts w:ascii="Times New Roman" w:hAnsi="Times New Roman"/>
          <w:sz w:val="20"/>
          <w:u w:val="single"/>
        </w:rPr>
        <w:t>Losses</w:t>
      </w:r>
      <w:r>
        <w:rPr>
          <w:rFonts w:ascii="Times New Roman" w:hAnsi="Times New Roman"/>
          <w:sz w:val="20"/>
        </w:rPr>
        <w:t xml:space="preserve">” has the meaning set forth in Section 2.5(a). </w:t>
      </w:r>
    </w:p>
    <w:p>
      <w:pPr>
        <w:pStyle w:val="TextBody"/>
        <w:bidi w:val="0"/>
        <w:spacing w:before="240" w:after="0"/>
        <w:jc w:val="both"/>
        <w:rPr/>
      </w:pPr>
      <w:r>
        <w:rPr/>
        <w:t>“</w:t>
      </w:r>
      <w:r>
        <w:rPr>
          <w:rFonts w:ascii="Times New Roman" w:hAnsi="Times New Roman"/>
          <w:sz w:val="20"/>
          <w:u w:val="single"/>
        </w:rPr>
        <w:t>New Registration Statement</w:t>
      </w:r>
      <w:r>
        <w:rPr>
          <w:rFonts w:ascii="Times New Roman" w:hAnsi="Times New Roman"/>
          <w:sz w:val="20"/>
        </w:rPr>
        <w:t xml:space="preserve">” has the meaning set forth in Section 2.1(a). </w:t>
      </w:r>
    </w:p>
    <w:p>
      <w:pPr>
        <w:pStyle w:val="TextBody"/>
        <w:bidi w:val="0"/>
        <w:spacing w:before="240" w:after="0"/>
        <w:jc w:val="both"/>
        <w:rPr/>
      </w:pPr>
      <w:r>
        <w:rPr/>
        <w:t>“</w:t>
      </w:r>
      <w:r>
        <w:rPr>
          <w:rFonts w:ascii="Times New Roman" w:hAnsi="Times New Roman"/>
          <w:sz w:val="20"/>
          <w:u w:val="single"/>
        </w:rPr>
        <w:t>Participating Holder</w:t>
      </w:r>
      <w:r>
        <w:rPr>
          <w:rFonts w:ascii="Times New Roman" w:hAnsi="Times New Roman"/>
          <w:sz w:val="20"/>
        </w:rPr>
        <w:t xml:space="preserve">” means with respect to any registration, any Holder of Registrable Securities covered by the applicable Registration Statement. </w:t>
      </w:r>
    </w:p>
    <w:p>
      <w:pPr>
        <w:pStyle w:val="TextBody"/>
        <w:bidi w:val="0"/>
        <w:spacing w:before="240" w:after="0"/>
        <w:jc w:val="both"/>
        <w:rPr/>
      </w:pPr>
      <w:r>
        <w:rPr/>
        <w:t>“</w:t>
      </w:r>
      <w:r>
        <w:rPr>
          <w:rFonts w:ascii="Times New Roman" w:hAnsi="Times New Roman"/>
          <w:sz w:val="20"/>
          <w:u w:val="single"/>
        </w:rPr>
        <w:t>Pre-Funded Warrants</w:t>
      </w:r>
      <w:r>
        <w:rPr>
          <w:rFonts w:ascii="Times New Roman" w:hAnsi="Times New Roman"/>
          <w:sz w:val="20"/>
        </w:rPr>
        <w:t xml:space="preserve">” means the Pre-Funded Warrants issued pursuant to the Purchase Agreement. </w:t>
      </w:r>
    </w:p>
    <w:p>
      <w:pPr>
        <w:pStyle w:val="TextBody"/>
        <w:bidi w:val="0"/>
        <w:spacing w:before="240" w:after="0"/>
        <w:jc w:val="both"/>
        <w:rPr/>
      </w:pPr>
      <w:r>
        <w:rPr/>
        <w:t>“</w:t>
      </w:r>
      <w:r>
        <w:rPr>
          <w:rFonts w:ascii="Times New Roman" w:hAnsi="Times New Roman"/>
          <w:sz w:val="20"/>
          <w:u w:val="single"/>
        </w:rPr>
        <w:t>Prospectus</w:t>
      </w:r>
      <w:r>
        <w:rPr>
          <w:rFonts w:ascii="Times New Roman" w:hAnsi="Times New Roman"/>
          <w:sz w:val="20"/>
        </w:rPr>
        <w:t xml:space="preserve">” means the prospectus included in any Registration Statement (including a prospectus that discloses information previously omitted from a prospectus filed as part of an effective Shelf Registration Statement in reliance upon Rule 430A or Rule 430B promulgated under the Securities Act), all amendments and supplements to such prospectus, including pre- and post-effective amendments to such Registration Statement, and all other material incorporated by reference in such prospectus. </w:t>
      </w:r>
    </w:p>
    <w:p>
      <w:pPr>
        <w:pStyle w:val="TextBody"/>
        <w:bidi w:val="0"/>
        <w:spacing w:before="240" w:after="0"/>
        <w:jc w:val="both"/>
        <w:rPr/>
      </w:pPr>
      <w:r>
        <w:rPr/>
        <w:t>“</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xml:space="preserve">” refer to a registration effected by preparing and filing a registration statement in compliance with the Securities Act, and the declaration or ordering of effectiveness of such registration statement or document. </w:t>
      </w:r>
    </w:p>
    <w:p>
      <w:pPr>
        <w:pStyle w:val="TextBody"/>
        <w:bidi w:val="0"/>
        <w:spacing w:before="240" w:after="0"/>
        <w:jc w:val="both"/>
        <w:rPr/>
      </w:pPr>
      <w:r>
        <w:rPr/>
        <w:t>“</w:t>
      </w:r>
      <w:r>
        <w:rPr>
          <w:rFonts w:ascii="Times New Roman" w:hAnsi="Times New Roman"/>
          <w:sz w:val="20"/>
          <w:u w:val="single"/>
        </w:rPr>
        <w:t>Registrable Securities</w:t>
      </w:r>
      <w:r>
        <w:rPr>
          <w:rFonts w:ascii="Times New Roman" w:hAnsi="Times New Roman"/>
          <w:sz w:val="20"/>
        </w:rPr>
        <w:t xml:space="preserve">” means (i) the Shares, (ii) the Warrant Shares, and (iii) any Common Stock issued as a dividend or other distribution with respect to, or in exchange for or in replacement of, Shares or Warrant Shares; </w:t>
      </w:r>
      <w:r>
        <w:rPr>
          <w:rFonts w:ascii="Times New Roman" w:hAnsi="Times New Roman"/>
          <w:sz w:val="20"/>
          <w:u w:val="single"/>
        </w:rPr>
        <w:t>provided</w:t>
      </w:r>
      <w:r>
        <w:rPr>
          <w:rFonts w:ascii="Times New Roman" w:hAnsi="Times New Roman"/>
          <w:sz w:val="20"/>
        </w:rPr>
        <w:t xml:space="preserve">, that the Holder has completed and delivered to the Company a selling stockholder questionnaire and any other information regarding the Holder and the distribution of the Registrable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Securities as the Company may, from time to time, reasonably request for inclusion in a Registration Statement pursuant to applicable law. Notwithstanding the foregoing, Securities or any such Common Stock, as applicable, shall cease to be Registrable Securities for all purposes hereunder upon the earliest to occur of the following: (a) the sale by any Person of such Securities or any such Common Stock, as applicable, either pursuant to a registration statement under the Securities Act or under Rule 144 (or any similar provision then in effect) (in which case, only such Securities or any such Common Stock, as applicable, sold shall cease to be Registrable Securities), (b) such Securities shall have been otherwise transferred, new certificates for such Securities not bearing a legend restricting further transfer shall have been delivered by Company and subsequent public distribution of such Securities shall not require registration under the Securities Act, or (c) such Securities cease to be outstanding. </w:t>
      </w:r>
    </w:p>
    <w:p>
      <w:pPr>
        <w:pStyle w:val="TextBody"/>
        <w:bidi w:val="0"/>
        <w:spacing w:before="240" w:after="0"/>
        <w:jc w:val="both"/>
        <w:rPr/>
      </w:pPr>
      <w:r>
        <w:rPr/>
        <w:t>“</w:t>
      </w:r>
      <w:r>
        <w:rPr>
          <w:rFonts w:ascii="Times New Roman" w:hAnsi="Times New Roman"/>
          <w:sz w:val="20"/>
          <w:u w:val="single"/>
        </w:rPr>
        <w:t>Registration Statement</w:t>
      </w:r>
      <w:r>
        <w:rPr>
          <w:rFonts w:ascii="Times New Roman" w:hAnsi="Times New Roman"/>
          <w:sz w:val="20"/>
        </w:rPr>
        <w:t xml:space="preserve">” means any registration statement of the Company that covers the resale of any of the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or deemed to be incorporated by reference in such registration statement. </w:t>
      </w:r>
    </w:p>
    <w:p>
      <w:pPr>
        <w:pStyle w:val="TextBody"/>
        <w:bidi w:val="0"/>
        <w:spacing w:before="240" w:after="0"/>
        <w:jc w:val="both"/>
        <w:rPr/>
      </w:pPr>
      <w:r>
        <w:rPr/>
        <w:t>“</w:t>
      </w:r>
      <w:r>
        <w:rPr>
          <w:rFonts w:ascii="Times New Roman" w:hAnsi="Times New Roman"/>
          <w:sz w:val="20"/>
          <w:u w:val="single"/>
        </w:rPr>
        <w:t>Remainder Registration Statement</w:t>
      </w:r>
      <w:r>
        <w:rPr>
          <w:rFonts w:ascii="Times New Roman" w:hAnsi="Times New Roman"/>
          <w:sz w:val="20"/>
        </w:rPr>
        <w:t xml:space="preserve">” has the meaning set forth in Section 2.1(a). </w:t>
      </w:r>
    </w:p>
    <w:p>
      <w:pPr>
        <w:pStyle w:val="TextBody"/>
        <w:bidi w:val="0"/>
        <w:spacing w:before="240" w:after="0"/>
        <w:jc w:val="both"/>
        <w:rPr/>
      </w:pPr>
      <w:r>
        <w:rPr/>
        <w:t>“</w:t>
      </w:r>
      <w:r>
        <w:rPr>
          <w:rFonts w:ascii="Times New Roman" w:hAnsi="Times New Roman"/>
          <w:sz w:val="20"/>
          <w:u w:val="single"/>
        </w:rPr>
        <w:t>Required Holders</w:t>
      </w:r>
      <w:r>
        <w:rPr>
          <w:rFonts w:ascii="Times New Roman" w:hAnsi="Times New Roman"/>
          <w:sz w:val="20"/>
        </w:rPr>
        <w:t xml:space="preserve">” means the Holders holding a majority of the Registrable Securities outstanding from time to time. </w:t>
      </w:r>
    </w:p>
    <w:p>
      <w:pPr>
        <w:pStyle w:val="TextBody"/>
        <w:bidi w:val="0"/>
        <w:spacing w:before="240" w:after="0"/>
        <w:jc w:val="both"/>
        <w:rPr/>
      </w:pPr>
      <w:r>
        <w:rPr/>
        <w:t>“</w:t>
      </w:r>
      <w:r>
        <w:rPr>
          <w:rFonts w:ascii="Times New Roman" w:hAnsi="Times New Roman"/>
          <w:sz w:val="20"/>
          <w:u w:val="single"/>
        </w:rPr>
        <w:t>Rule 144</w:t>
      </w:r>
      <w:r>
        <w:rPr>
          <w:rFonts w:ascii="Times New Roman" w:hAnsi="Times New Roman"/>
          <w:sz w:val="20"/>
        </w:rPr>
        <w:t xml:space="preserve">” means Rule 144 as promulgated by the SEC under the Securities Act, as such rule may be amended from time to time, or any similar successor rule that may be promulgated by the SEC having substantially the same effect as such Rule. </w:t>
      </w:r>
    </w:p>
    <w:p>
      <w:pPr>
        <w:pStyle w:val="TextBody"/>
        <w:bidi w:val="0"/>
        <w:spacing w:before="240" w:after="0"/>
        <w:jc w:val="both"/>
        <w:rPr/>
      </w:pPr>
      <w:r>
        <w:rPr/>
        <w:t>“</w:t>
      </w:r>
      <w:r>
        <w:rPr>
          <w:rFonts w:ascii="Times New Roman" w:hAnsi="Times New Roman"/>
          <w:sz w:val="20"/>
          <w:u w:val="single"/>
        </w:rPr>
        <w:t>SEC</w:t>
      </w:r>
      <w:r>
        <w:rPr>
          <w:rFonts w:ascii="Times New Roman" w:hAnsi="Times New Roman"/>
          <w:sz w:val="20"/>
        </w:rPr>
        <w:t xml:space="preserve">” means the Securities and Exchange Commission or any other federal agency at the time administering the Securities Act. </w:t>
      </w:r>
    </w:p>
    <w:p>
      <w:pPr>
        <w:pStyle w:val="TextBody"/>
        <w:bidi w:val="0"/>
        <w:spacing w:before="240" w:after="0"/>
        <w:jc w:val="both"/>
        <w:rPr/>
      </w:pPr>
      <w:r>
        <w:rPr/>
        <w:t>“</w:t>
      </w:r>
      <w:r>
        <w:rPr>
          <w:rFonts w:ascii="Times New Roman" w:hAnsi="Times New Roman"/>
          <w:sz w:val="20"/>
          <w:u w:val="single"/>
        </w:rPr>
        <w:t>SEC Guidance</w:t>
      </w:r>
      <w:r>
        <w:rPr>
          <w:rFonts w:ascii="Times New Roman" w:hAnsi="Times New Roman"/>
          <w:sz w:val="20"/>
        </w:rPr>
        <w:t xml:space="preserve">” means any publicly-available written or oral guidance, comments, requirements or requests of the SEC staff under the Securities Act; </w:t>
      </w:r>
      <w:r>
        <w:rPr>
          <w:rFonts w:ascii="Times New Roman" w:hAnsi="Times New Roman"/>
          <w:sz w:val="20"/>
          <w:u w:val="single"/>
        </w:rPr>
        <w:t>provided</w:t>
      </w:r>
      <w:r>
        <w:rPr>
          <w:rFonts w:ascii="Times New Roman" w:hAnsi="Times New Roman"/>
          <w:sz w:val="20"/>
        </w:rPr>
        <w:t xml:space="preserve">, that any such oral guidance, comments, requirements or requests are reduced to writing by the SEC. </w:t>
      </w:r>
    </w:p>
    <w:p>
      <w:pPr>
        <w:pStyle w:val="TextBody"/>
        <w:bidi w:val="0"/>
        <w:spacing w:before="240" w:after="0"/>
        <w:jc w:val="both"/>
        <w:rPr/>
      </w:pPr>
      <w:r>
        <w:rPr/>
        <w:t>“</w:t>
      </w:r>
      <w:r>
        <w:rPr>
          <w:rFonts w:ascii="Times New Roman" w:hAnsi="Times New Roman"/>
          <w:sz w:val="20"/>
          <w:u w:val="single"/>
        </w:rPr>
        <w:t>Securities</w:t>
      </w:r>
      <w:r>
        <w:rPr>
          <w:rFonts w:ascii="Times New Roman" w:hAnsi="Times New Roman"/>
          <w:sz w:val="20"/>
        </w:rPr>
        <w:t xml:space="preserve">” means the Shares and Warrant Shares issued pursuant to the Purchase Agreement. </w:t>
      </w:r>
    </w:p>
    <w:p>
      <w:pPr>
        <w:pStyle w:val="TextBody"/>
        <w:bidi w:val="0"/>
        <w:spacing w:before="240" w:after="0"/>
        <w:jc w:val="both"/>
        <w:rPr/>
      </w:pPr>
      <w:r>
        <w:rPr/>
        <w:t>“</w:t>
      </w:r>
      <w:r>
        <w:rPr>
          <w:rFonts w:ascii="Times New Roman" w:hAnsi="Times New Roman"/>
          <w:sz w:val="20"/>
          <w:u w:val="single"/>
        </w:rPr>
        <w:t>Securities Act</w:t>
      </w:r>
      <w:r>
        <w:rPr>
          <w:rFonts w:ascii="Times New Roman" w:hAnsi="Times New Roman"/>
          <w:sz w:val="20"/>
        </w:rPr>
        <w:t xml:space="preserve">” means the Securities Act of 1933, as amended, or any similar successor federal statute and the rules and regulations thereunder, all as the same shall be in effect from time to time. </w:t>
      </w:r>
    </w:p>
    <w:p>
      <w:pPr>
        <w:pStyle w:val="TextBody"/>
        <w:bidi w:val="0"/>
        <w:spacing w:before="240" w:after="0"/>
        <w:jc w:val="both"/>
        <w:rPr/>
      </w:pPr>
      <w:r>
        <w:rPr/>
        <w:t>“</w:t>
      </w:r>
      <w:r>
        <w:rPr>
          <w:rFonts w:ascii="Times New Roman" w:hAnsi="Times New Roman"/>
          <w:sz w:val="20"/>
          <w:u w:val="single"/>
        </w:rPr>
        <w:t>Shares</w:t>
      </w:r>
      <w:r>
        <w:rPr>
          <w:rFonts w:ascii="Times New Roman" w:hAnsi="Times New Roman"/>
          <w:sz w:val="20"/>
        </w:rPr>
        <w:t xml:space="preserve">” means the shares of Common Stock issued or issuable to the Purchasers pursuant to the Purchase Agreement. </w:t>
      </w:r>
    </w:p>
    <w:p>
      <w:pPr>
        <w:pStyle w:val="TextBody"/>
        <w:bidi w:val="0"/>
        <w:spacing w:before="240" w:after="0"/>
        <w:jc w:val="both"/>
        <w:rPr/>
      </w:pPr>
      <w:r>
        <w:rPr/>
        <w:t>“</w:t>
      </w:r>
      <w:r>
        <w:rPr>
          <w:rFonts w:ascii="Times New Roman" w:hAnsi="Times New Roman"/>
          <w:sz w:val="20"/>
          <w:u w:val="single"/>
        </w:rPr>
        <w:t>Shelf Registration Statement</w:t>
      </w:r>
      <w:r>
        <w:rPr>
          <w:rFonts w:ascii="Times New Roman" w:hAnsi="Times New Roman"/>
          <w:sz w:val="20"/>
        </w:rPr>
        <w:t xml:space="preserve">” has the meaning set forth in Section 2.1(a). </w:t>
      </w:r>
    </w:p>
    <w:p>
      <w:pPr>
        <w:pStyle w:val="TextBody"/>
        <w:bidi w:val="0"/>
        <w:spacing w:before="240" w:after="0"/>
        <w:jc w:val="both"/>
        <w:rPr/>
      </w:pPr>
      <w:r>
        <w:rPr/>
        <w:t>“</w:t>
      </w:r>
      <w:r>
        <w:rPr>
          <w:rFonts w:ascii="Times New Roman" w:hAnsi="Times New Roman"/>
          <w:sz w:val="20"/>
          <w:u w:val="single"/>
        </w:rPr>
        <w:t>Transaction Agreements</w:t>
      </w:r>
      <w:r>
        <w:rPr>
          <w:rFonts w:ascii="Times New Roman" w:hAnsi="Times New Roman"/>
          <w:sz w:val="20"/>
        </w:rPr>
        <w:t xml:space="preserve">” means this Agreement, the Purchase Agreement and the Pre-Funded Warrants, all exhibits and schedules thereto and hereto and any other documents or agreement executed in connection with the transactions contemplated hereunder or thereunder. </w:t>
      </w:r>
    </w:p>
    <w:p>
      <w:pPr>
        <w:pStyle w:val="TextBody"/>
        <w:bidi w:val="0"/>
        <w:spacing w:before="240" w:after="0"/>
        <w:jc w:val="both"/>
        <w:rPr/>
      </w:pPr>
      <w:r>
        <w:rPr/>
        <w:t>“</w:t>
      </w:r>
      <w:r>
        <w:rPr>
          <w:rFonts w:ascii="Times New Roman" w:hAnsi="Times New Roman"/>
          <w:sz w:val="20"/>
          <w:u w:val="single"/>
        </w:rPr>
        <w:t>Warrant Shares</w:t>
      </w:r>
      <w:r>
        <w:rPr>
          <w:rFonts w:ascii="Times New Roman" w:hAnsi="Times New Roman"/>
          <w:sz w:val="20"/>
        </w:rPr>
        <w:t xml:space="preserve">” means the shares of Common Stock issued or issuable upon the exercise of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2.1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Statements</w:t>
      </w:r>
      <w:r>
        <w:rPr>
          <w:rFonts w:ascii="Times New Roman" w:hAnsi="Times New Roman"/>
          <w:sz w:val="20"/>
        </w:rPr>
        <w:t>. On or prior to thirty (30) days following the Closing Date (the “</w:t>
      </w:r>
      <w:r>
        <w:rPr>
          <w:rFonts w:ascii="Times New Roman" w:hAnsi="Times New Roman"/>
          <w:sz w:val="20"/>
          <w:u w:val="single"/>
        </w:rPr>
        <w:t>Filing Deadline</w:t>
      </w:r>
      <w:r>
        <w:rPr>
          <w:rFonts w:ascii="Times New Roman" w:hAnsi="Times New Roman"/>
          <w:sz w:val="20"/>
        </w:rPr>
        <w:t>”), the Company shall prepare and file with the SEC a Registration Statement on Form S-3 (or, if Form S-3 is not then available to the Company, on such form of registration statement as is then available to effect a registration for resale of the Registrable Securities), subject to the provisions of Section 2.1(c), for the resale of the Registrable Securities pursuant to an offering to be made on a continuous basis pursuant to Rule 415 under the Securities Act (the “</w:t>
      </w:r>
      <w:r>
        <w:rPr>
          <w:rFonts w:ascii="Times New Roman" w:hAnsi="Times New Roman"/>
          <w:sz w:val="20"/>
          <w:u w:val="single"/>
        </w:rPr>
        <w:t>Shelf Registration Statement</w:t>
      </w:r>
      <w:r>
        <w:rPr>
          <w:rFonts w:ascii="Times New Roman" w:hAnsi="Times New Roman"/>
          <w:sz w:val="20"/>
        </w:rPr>
        <w:t xml:space="preserve">”). Such Shelf Registration Statement shall, subject to the limitations of Form S-3, include the aggregate amount of Registrable Securities to be registered therein and shall contain (except if otherwise required pursuant to written comments received from the SEC upon a review of such Shelf Registration Statement) the “Plan of Distribution” substantially in the form of </w:t>
      </w:r>
      <w:r>
        <w:rPr>
          <w:rFonts w:ascii="Times New Roman" w:hAnsi="Times New Roman"/>
          <w:sz w:val="20"/>
          <w:u w:val="single"/>
        </w:rPr>
        <w:t>Annex A</w:t>
      </w:r>
      <w:r>
        <w:rPr>
          <w:rFonts w:ascii="Times New Roman" w:hAnsi="Times New Roman"/>
          <w:sz w:val="20"/>
        </w:rPr>
        <w:t xml:space="preserve"> (which may be modified to respond to comments, if any, provided by the SEC). To the extent the staff of the SEC does not permit all of the Registrable Securities to be registered on the Shelf Registration Statement filed pursuant to this Section 2.1(a) or for any other reason any Registrable Securities are not then included in a Registration Statement filed under this Agreement, the Company shall (i) inform each of the Participating Holders thereof and use its commercially reasonable efforts to file amendments to the Shelf Registration Statement as required by the SEC and/or (ii) withdraw the Shelf Registration Statement and file a new registration statement (a “</w:t>
      </w:r>
      <w:r>
        <w:rPr>
          <w:rFonts w:ascii="Times New Roman" w:hAnsi="Times New Roman"/>
          <w:sz w:val="20"/>
          <w:u w:val="single"/>
        </w:rPr>
        <w:t>New Registration Statement</w:t>
      </w:r>
      <w:r>
        <w:rPr>
          <w:rFonts w:ascii="Times New Roman" w:hAnsi="Times New Roman"/>
          <w:sz w:val="20"/>
        </w:rPr>
        <w:t>”), in either case covering the maximum number of Registrable Securities permitted to be registered by the SEC, on Form S-3 or such other form available to register for resale the Registrable Securities as a secondary offering. In the event the Company amends the Shelf Registration Statement or files a New Registration Statement, as the case may be, under clauses (i) or (ii) above, the Company will use its commercially reasonable efforts to file with the SEC, as promptly as allowed by the SEC or SEC Guidance provided to the Company or to registrants of securities in general, one or more Registration Statements on Form S-3 or such other form available to register for resale those Registrable Securities that were not registered for resale on the Shelf Registration Statement, as amended, or the New Registration Statement (the “</w:t>
      </w:r>
      <w:r>
        <w:rPr>
          <w:rFonts w:ascii="Times New Roman" w:hAnsi="Times New Roman"/>
          <w:sz w:val="20"/>
          <w:u w:val="single"/>
        </w:rPr>
        <w:t>Remainder Registration Statement</w:t>
      </w:r>
      <w:r>
        <w:rPr>
          <w:rFonts w:ascii="Times New Roman" w:hAnsi="Times New Roman"/>
          <w:sz w:val="20"/>
        </w:rPr>
        <w:t xml:space="preserve">”). In no event shall any Participating Holder be identified as a statutory underwriter in the Registration Statement unless in response to a comment or request from the staff of the SEC or another regulatory agency;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SEC requests that a Participating Holder be identified as a statutory underwriter in the Registration Statement, such Holder will have an opportunity to withdraw from the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(i) The Company shall use commercially reasonable efforts to have the Shelf Registration Statement or New Registration Statement declared effective as soon as practicable but in no event later than the Effectiveness Deadline (including filing with the SEC a request for acceleration of effectiveness in accordance with Rule 461 promulgated under the Securities Act), and shall use its commercially reasonable efforts to keep the Shelf Registration Statement or New Registration Statement continuously effective under the Securities Act until the earlier of (A) such time as all of the Registrable Securities covered by such Registration Statement have been publicly sold by the Holders, or (B) the date that all the Shares and the Warrant Shares cease to be Registrable Securities (the “</w:t>
      </w:r>
      <w:r>
        <w:rPr>
          <w:rFonts w:ascii="Times New Roman" w:hAnsi="Times New Roman"/>
          <w:sz w:val="20"/>
          <w:u w:val="single"/>
        </w:rPr>
        <w:t>Effectiveness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will not be obligated to update the Registration Statement and no sales may made under the applicable Registration Statement during any Allowed Delay of which the Holders have received notice. The Company shall notify the Participating Holders of the effectiveness of a Registration Statement by e-mail as promptly as practicable, and shall, if requested provide the Participating Holders with copies of the final Prospectus to be used in connection with the sale or other disposition of the securities covered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(ii) For not more than forty-five (45) consecutive days or for a total of not more than ninety (90) days, in each case in any twelve (12) month period, the Company may suspend the use of any Prospectus included in any Registration Statement contemplated by this Section 2 if (A) the negotiation or consummation of a transaction by the Company is pending or an event has occurred, which negotiation, consummation or event, the Board reasonably believes, upon the advice of legal counsel,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Board, upon the advice of legal counsel, to cause the Registration Statement to fail to comply with applicable disclosure requirements, or (B) the Company determines in good faith, upon advice of legal counsel, that such suspension is necessary to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sz w:val="20"/>
          <w:u w:val="single"/>
        </w:rPr>
        <w:t>Allowed Delay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promptly (1) notify each Participating Holder in writing of the commencement of an Allowed Delay, but shall not (without the prior written consent of a Participating Holder) disclose to such Participating Holder any material non-public information giving rise to an Allowed Delay, (2) advise the Participating Holders in writing to cease all sales under such Registration Statement until the end of the Allowed Delay and (3) use commercially reasonable efforts to terminate an Allowed Delay as promptly as practicable. </w:t>
      </w:r>
    </w:p>
    <w:p>
      <w:pPr>
        <w:pStyle w:val="TextBody"/>
        <w:bidi w:val="0"/>
        <w:spacing w:before="240" w:after="0"/>
        <w:jc w:val="both"/>
        <w:rPr>
          <w:rFonts w:ascii="Times New Roman" w:hAnsi="Times New Roman"/>
          <w:sz w:val="20"/>
        </w:rPr>
      </w:pPr>
      <w:r>
        <w:rPr>
          <w:rFonts w:ascii="Times New Roman" w:hAnsi="Times New Roman"/>
          <w:sz w:val="20"/>
        </w:rPr>
        <w:t>(c)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w:t>
      </w:r>
      <w:r>
        <w:rPr>
          <w:rFonts w:ascii="Times New Roman" w:hAnsi="Times New Roman"/>
          <w:sz w:val="20"/>
          <w:u w:val="single"/>
        </w:rPr>
        <w:t> provided</w:t>
      </w:r>
      <w:r>
        <w:rPr>
          <w:rFonts w:ascii="Times New Roman" w:hAnsi="Times New Roman"/>
          <w:sz w:val="20"/>
        </w:rPr>
        <w:t xml:space="preserve">, that the Company shall maintain the effectiveness of the Registration Statement then in effect until such time as a Registration Statement on Form S-3 covering the Registrable Securities has been declared effective by the SEC.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Liquidated Damages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(i) If a Registration Statement covering the Registrable Securities (A) is not filed with the Commission on or prior to the Filing Deadline or (B) is not declared effective by the Commission on Effectiveness Deadline (each a “</w:t>
      </w:r>
      <w:r>
        <w:rPr>
          <w:rFonts w:ascii="Times New Roman" w:hAnsi="Times New Roman"/>
          <w:sz w:val="20"/>
          <w:u w:val="single"/>
        </w:rPr>
        <w:t>Registration Failure</w:t>
      </w:r>
      <w:r>
        <w:rPr>
          <w:rFonts w:ascii="Times New Roman" w:hAnsi="Times New Roman"/>
          <w:sz w:val="20"/>
        </w:rPr>
        <w:t>”), then, in addition to any other rights the Purchasers may have hereunder or under applicable law, the Company will make pro rata payments to each Purchaser of then outstanding Registrable Securities, as liquidated damages and not as a penalty (the “</w:t>
      </w:r>
      <w:r>
        <w:rPr>
          <w:rFonts w:ascii="Times New Roman" w:hAnsi="Times New Roman"/>
          <w:sz w:val="20"/>
          <w:u w:val="single"/>
        </w:rPr>
        <w:t>Registration Liquidated Damages</w:t>
      </w:r>
      <w:r>
        <w:rPr>
          <w:rFonts w:ascii="Times New Roman" w:hAnsi="Times New Roman"/>
          <w:sz w:val="20"/>
        </w:rPr>
        <w:t xml:space="preserve">”), in an amount equal to one percent (1.0%) of the aggregate amount invested by such Purchaser for the Registrable Securities then held by such Purchaser for the initial day of a Registration Failure and for each thirty (30) day period (or pro rata portion thereof with respect to a final period, if any) thereafter until the Registration Failure is cured. The Registration Liquidated Damages shall be paid monthly within ten (10) Business Days of the date of such Registration Failure and the end of each subsequent thirty (30)-day period (or portion thereof with respect to a final period, if any) thereafter until the Registration Failure is cured. Such payments shall be made in cash to each Purchaser then holding Registrable Securities. Interest shall accrue at the rate of one percent (1%) per month on any such liquidated damages payments that shall not be paid by the applicable payment date until such amount is paid in full. </w:t>
      </w:r>
    </w:p>
    <w:p>
      <w:pPr>
        <w:pStyle w:val="TextBody"/>
        <w:bidi w:val="0"/>
        <w:spacing w:before="240" w:after="0"/>
        <w:jc w:val="both"/>
        <w:rPr>
          <w:rFonts w:ascii="Times New Roman" w:hAnsi="Times New Roman"/>
          <w:sz w:val="20"/>
        </w:rPr>
      </w:pPr>
      <w:r>
        <w:rPr>
          <w:rFonts w:ascii="Times New Roman" w:hAnsi="Times New Roman"/>
          <w:sz w:val="20"/>
        </w:rPr>
        <w:t>(ii) If after a Registration Statement has been declared effective by the Commission or otherwise becomes effective, sales cannot be made pursuant to such Registration Statement for any reason (including, without limitation, by reason of a stop order or the Company’s failure to update such Registration Statement) (each of (A) and (B), a “</w:t>
      </w:r>
      <w:r>
        <w:rPr>
          <w:rFonts w:ascii="Times New Roman" w:hAnsi="Times New Roman"/>
          <w:sz w:val="20"/>
          <w:u w:val="single"/>
        </w:rPr>
        <w:t>Maintenance Failure</w:t>
      </w:r>
      <w:r>
        <w:rPr>
          <w:rFonts w:ascii="Times New Roman" w:hAnsi="Times New Roman"/>
          <w:sz w:val="20"/>
        </w:rPr>
        <w:t>”), then the Company will make pro rata payments to each Purchaser then holding Registrable Securities, as liquidated damages and not as a penalty (the “</w:t>
      </w:r>
      <w:r>
        <w:rPr>
          <w:rFonts w:ascii="Times New Roman" w:hAnsi="Times New Roman"/>
          <w:sz w:val="20"/>
          <w:u w:val="single"/>
        </w:rPr>
        <w:t>Effectiveness Liquidated Damages</w:t>
      </w:r>
      <w:r>
        <w:rPr>
          <w:rFonts w:ascii="Times New Roman" w:hAnsi="Times New Roman"/>
          <w:sz w:val="20"/>
        </w:rPr>
        <w:t xml:space="preserve">” and together with the Registration Liquidated Damages,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Liquidated Damages</w:t>
      </w:r>
      <w:r>
        <w:rPr>
          <w:rFonts w:ascii="Times New Roman" w:hAnsi="Times New Roman"/>
          <w:sz w:val="20"/>
        </w:rPr>
        <w:t xml:space="preserve">”), in an amount equal to one percent (1.0%) of the aggregate amount invested by such Purchaser for the Registrable Securities then held by such Purchaser for the initial day of a Maintenance Failure and for each thirty (30)-day period (pro rata for any portion thereof) thereafter until the Maintenance Failure is cured. The Effectiveness Liquidated Damages shall be paid monthly within ten (10) Business Days of the end of the date of such Maintenance Failure and each subsequent thirty (30)-day period (pro rata for any portion thereof). Such payments shall be made to each Purchaser then holding Registrable Securities in cash. Interest shall accrue at the rate of one percent (1.0%) per month on any such liquidated damages payments that shall not be paid by the applicable payment date until such amount is paid in full. </w:t>
      </w:r>
    </w:p>
    <w:p>
      <w:pPr>
        <w:pStyle w:val="TextBody"/>
        <w:bidi w:val="0"/>
        <w:spacing w:before="240" w:after="0"/>
        <w:jc w:val="both"/>
        <w:rPr>
          <w:rFonts w:ascii="Times New Roman" w:hAnsi="Times New Roman"/>
          <w:sz w:val="20"/>
        </w:rPr>
      </w:pPr>
      <w:r>
        <w:rPr>
          <w:rFonts w:ascii="Times New Roman" w:hAnsi="Times New Roman"/>
          <w:sz w:val="20"/>
        </w:rPr>
        <w:t xml:space="preserve">(iii) Notwithstanding the foregoing, (A) no Liquidated Damages shall be payable with respect to any period after the expiration of the Effectiveness Period (it being understood that this sentence shall not relieve the Company of any Liquidated Damages accruing prior to the expiration of the Effectiveness Period), (B) in no event shall the aggregate amount of Liquidated Damages payable to a Purchaser exceed, in the aggregate, five percent (5.0%) of the aggregate purchase price paid by such Purchaser pursuant to the Purchase Agreement, (C) no Liquidated Damages shall accrue or be payable with respect to any reduction in the number of Registrable Securities to be included in a Registration Statement due to the application of Rule 415 as set forth in Section 2.1(a) and (D) no Liquidated Damages shall accrue or be payable with respect to any Allowed Delay or a suspension as described in Section 2.1(b)(ii). </w:t>
      </w:r>
    </w:p>
    <w:p>
      <w:pPr>
        <w:pStyle w:val="TextBody"/>
        <w:bidi w:val="0"/>
        <w:spacing w:before="240" w:after="0"/>
        <w:jc w:val="both"/>
        <w:rPr>
          <w:rFonts w:ascii="Times New Roman" w:hAnsi="Times New Roman"/>
          <w:sz w:val="20"/>
        </w:rPr>
      </w:pPr>
      <w:r>
        <w:rPr>
          <w:rFonts w:ascii="Times New Roman" w:hAnsi="Times New Roman"/>
          <w:sz w:val="20"/>
        </w:rPr>
        <w:t xml:space="preserve">2.2 </w:t>
      </w:r>
      <w:r>
        <w:rPr>
          <w:rFonts w:ascii="Times New Roman" w:hAnsi="Times New Roman"/>
          <w:sz w:val="20"/>
          <w:u w:val="single"/>
        </w:rPr>
        <w:t>Expenses</w:t>
      </w:r>
      <w:r>
        <w:rPr>
          <w:rFonts w:ascii="Times New Roman" w:hAnsi="Times New Roman"/>
          <w:sz w:val="20"/>
        </w:rPr>
        <w:t xml:space="preserve">.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w:t>
      </w:r>
    </w:p>
    <w:p>
      <w:pPr>
        <w:pStyle w:val="TextBody"/>
        <w:bidi w:val="0"/>
        <w:spacing w:before="240" w:after="0"/>
        <w:jc w:val="both"/>
        <w:rPr>
          <w:rFonts w:ascii="Times New Roman" w:hAnsi="Times New Roman"/>
          <w:sz w:val="20"/>
        </w:rPr>
      </w:pPr>
      <w:r>
        <w:rPr>
          <w:rFonts w:ascii="Times New Roman" w:hAnsi="Times New Roman"/>
          <w:sz w:val="20"/>
        </w:rPr>
        <w:t xml:space="preserve">2.3 </w:t>
      </w:r>
      <w:r>
        <w:rPr>
          <w:rFonts w:ascii="Times New Roman" w:hAnsi="Times New Roman"/>
          <w:sz w:val="20"/>
          <w:u w:val="single"/>
        </w:rPr>
        <w:t>Company Obligations</w:t>
      </w:r>
      <w:r>
        <w:rPr>
          <w:rFonts w:ascii="Times New Roman" w:hAnsi="Times New Roman"/>
          <w:sz w:val="20"/>
        </w:rPr>
        <w:t xml:space="preserve">. The Company will use commercially reasonable efforts to effect the registration of the Registrable Securities in accordance with the terms hereof, and pursuant thereto the Company will: </w:t>
      </w:r>
    </w:p>
    <w:p>
      <w:pPr>
        <w:pStyle w:val="TextBody"/>
        <w:bidi w:val="0"/>
        <w:spacing w:before="240" w:after="0"/>
        <w:jc w:val="both"/>
        <w:rPr>
          <w:rFonts w:ascii="Times New Roman" w:hAnsi="Times New Roman"/>
          <w:sz w:val="20"/>
        </w:rPr>
      </w:pPr>
      <w:r>
        <w:rPr>
          <w:rFonts w:ascii="Times New Roman" w:hAnsi="Times New Roman"/>
          <w:sz w:val="20"/>
        </w:rPr>
        <w:t xml:space="preserve">(a) prepare the required Registration Statement including all exhibits and financial statements required under the Securities Act to be filed therewith, and provide copies to and permit each Participating Holder to review each Registration Statement and all amendments and supplements thereto prior to their filing with the SEC and a reasonable opportunity to furnish comments thereon (it being acknowledged and agreed that if a Participating Holder does not object to or comment on the aforementioned documents, then the Participating Holder shall be deemed to have consented to and approved the use of such documents); </w:t>
      </w:r>
    </w:p>
    <w:p>
      <w:pPr>
        <w:pStyle w:val="TextBody"/>
        <w:bidi w:val="0"/>
        <w:spacing w:before="240" w:after="0"/>
        <w:jc w:val="both"/>
        <w:rPr>
          <w:rFonts w:ascii="Times New Roman" w:hAnsi="Times New Roman"/>
          <w:sz w:val="20"/>
        </w:rPr>
      </w:pPr>
      <w:r>
        <w:rPr>
          <w:rFonts w:ascii="Times New Roman" w:hAnsi="Times New Roman"/>
          <w:sz w:val="20"/>
        </w:rPr>
        <w:t xml:space="preserve">(b) file with the SEC a Registration Statement relating to the Registrable Securities including all exhibits and financial statements required by the SEC to be filed therewith, and use commercially reasonable efforts to cause such Registration Statement to become effective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(c) prepare and file with the SEC such amendments and post-effective amendments to such Registration Statement and the related Prospectus as may be necessary to keep such Registration Statement effective for the Effectiveness Period and to comply with the provisions of the Securities Act and the Exchange Act with respect to the distribution of all of the Registrable Securities covered thereby; </w:t>
      </w:r>
    </w:p>
    <w:p>
      <w:pPr>
        <w:pStyle w:val="TextBody"/>
        <w:bidi w:val="0"/>
        <w:spacing w:before="240" w:after="0"/>
        <w:jc w:val="both"/>
        <w:rPr>
          <w:rFonts w:ascii="Times New Roman" w:hAnsi="Times New Roman"/>
          <w:sz w:val="20"/>
        </w:rPr>
      </w:pPr>
      <w:r>
        <w:rPr>
          <w:rFonts w:ascii="Times New Roman" w:hAnsi="Times New Roman"/>
          <w:sz w:val="20"/>
        </w:rPr>
        <w:t>(d) (i) notify the Participating Holders by facsimile or e-mail as promptly as practicable after any Registration Statement is declared effective and shall simultaneously provide the Participating Holders with copies of any related Prospectus to be used in connection with the sale or other disposition of the securities covered thereby (</w:t>
      </w:r>
      <w:r>
        <w:rPr>
          <w:rFonts w:ascii="Times New Roman" w:hAnsi="Times New Roman"/>
          <w:sz w:val="20"/>
          <w:u w:val="single"/>
        </w:rPr>
        <w:t>provided</w:t>
      </w:r>
      <w:r>
        <w:rPr>
          <w:rFonts w:ascii="Times New Roman" w:hAnsi="Times New Roman"/>
          <w:sz w:val="20"/>
        </w:rPr>
        <w:t xml:space="preserve">, that the Company will not have any obligation to provide any document pursuant to this clause that is available on the EDGAR system), (ii) promptly notify the Participating Holders no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than one (1) trading day following the date (A) of the issuance by the SEC of any stop order suspending the effectiveness of such Registration Statement covering any or all of the Registrable Securities or any order by the SEC preventing or suspending the use of any preliminary or final Prospectus or the initiation of any proceedings for such purposes, (B) of the receipt by the Company of any notification with respect to the suspension of the qualification of the Registrable Securities for offering or sale in any jurisdiction and (C) of the receipt by the Company of any notification with respect to the initiation or threatening of any proceeding for the suspension of the qualification of the Registrable Securities for offering or sale in any jurisdiction; </w:t>
      </w:r>
    </w:p>
    <w:p>
      <w:pPr>
        <w:pStyle w:val="TextBody"/>
        <w:bidi w:val="0"/>
        <w:spacing w:before="240" w:after="0"/>
        <w:jc w:val="both"/>
        <w:rPr>
          <w:rFonts w:ascii="Times New Roman" w:hAnsi="Times New Roman"/>
          <w:sz w:val="20"/>
        </w:rPr>
      </w:pPr>
      <w:r>
        <w:rPr>
          <w:rFonts w:ascii="Times New Roman" w:hAnsi="Times New Roman"/>
          <w:sz w:val="20"/>
        </w:rPr>
        <w:t>(e) promptly notify the Participating Holders,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w:t>
      </w:r>
      <w:r>
        <w:rPr>
          <w:rFonts w:ascii="Times New Roman" w:hAnsi="Times New Roman"/>
          <w:sz w:val="20"/>
          <w:u w:val="single"/>
        </w:rPr>
        <w:t>provided</w:t>
      </w:r>
      <w:r>
        <w:rPr>
          <w:rFonts w:ascii="Times New Roman" w:hAnsi="Times New Roman"/>
          <w:sz w:val="20"/>
        </w:rPr>
        <w:t xml:space="preserve"> that such notice shall not, without the prior written consent of a Participating Holder, disclose to such Participating Holder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 </w:t>
      </w:r>
    </w:p>
    <w:p>
      <w:pPr>
        <w:pStyle w:val="TextBody"/>
        <w:bidi w:val="0"/>
        <w:spacing w:before="240" w:after="0"/>
        <w:jc w:val="both"/>
        <w:rPr>
          <w:rFonts w:ascii="Times New Roman" w:hAnsi="Times New Roman"/>
          <w:sz w:val="20"/>
        </w:rPr>
      </w:pPr>
      <w:r>
        <w:rPr>
          <w:rFonts w:ascii="Times New Roman" w:hAnsi="Times New Roman"/>
          <w:sz w:val="20"/>
        </w:rPr>
        <w:t xml:space="preserve">(f) promptly incorporate in a Prospectus supplement, Free Writing Prospectus or post-effective amendment to the applicable Registration Statement such information as the Participating Holders reasonably request to be included therein relating to the plan of distribution with respect to such Registrable Securities, and make all required filings of such Prospectus supplement, Free Writing Prospectus or post-effective amendment as soon as reasonably practicable after being notified of the matters to be incorporated in such Prospectus supplement, Free Writing Prospectus or post-effective amendment; </w:t>
      </w:r>
    </w:p>
    <w:p>
      <w:pPr>
        <w:pStyle w:val="TextBody"/>
        <w:bidi w:val="0"/>
        <w:spacing w:before="240" w:after="0"/>
        <w:jc w:val="both"/>
        <w:rPr>
          <w:rFonts w:ascii="Times New Roman" w:hAnsi="Times New Roman"/>
          <w:sz w:val="20"/>
        </w:rPr>
      </w:pPr>
      <w:r>
        <w:rPr>
          <w:rFonts w:ascii="Times New Roman" w:hAnsi="Times New Roman"/>
          <w:sz w:val="20"/>
        </w:rPr>
        <w:t xml:space="preserve">(g) furnish to each Participating Holder whose Registrable Securities are included in any Registration Statement (i) promptly after the same is prepared and filed with the SEC, if requested by the Participating Holder,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such Participating Holder may reasonably request in order to facilitate the disposition of the Registrable Securities owned by such Participating Holder that are covered by such Registration Statement; </w:t>
      </w:r>
    </w:p>
    <w:p>
      <w:pPr>
        <w:pStyle w:val="TextBody"/>
        <w:bidi w:val="0"/>
        <w:spacing w:before="240" w:after="0"/>
        <w:jc w:val="both"/>
        <w:rPr>
          <w:rFonts w:ascii="Times New Roman" w:hAnsi="Times New Roman"/>
          <w:sz w:val="20"/>
        </w:rPr>
      </w:pPr>
      <w:r>
        <w:rPr>
          <w:rFonts w:ascii="Times New Roman" w:hAnsi="Times New Roman"/>
          <w:sz w:val="20"/>
        </w:rPr>
        <w:t>(h) on or prior to the date on which the Registration Statement is declared effective, use its commercially reasonable efforts to register or qualify, or cooperate with the Participating Holders and their respective counsel, in connection with the registration or qualification (or exemption from the registration or qualification) of such Registrable Securities for offer and sale under the applicable state securities or “Blue Sky” laws of those jurisdictions within the United States as any Participating Holder or their respective counsel reasonably request in writing and do any and all other acts or things reasonably necessary or advisable to keep such registration or qualification (or exemption therefrom) in effect during the Effectiveness Period, </w:t>
      </w:r>
      <w:r>
        <w:rPr>
          <w:rFonts w:ascii="Times New Roman" w:hAnsi="Times New Roman"/>
          <w:sz w:val="20"/>
          <w:u w:val="single"/>
        </w:rPr>
        <w:t>provided</w:t>
      </w:r>
      <w:r>
        <w:rPr>
          <w:rFonts w:ascii="Times New Roman" w:hAnsi="Times New Roman"/>
          <w:sz w:val="20"/>
        </w:rPr>
        <w:t xml:space="preserve"> that the Company shall not be required to qualify generally to do business or as a dealer in securities in any jurisdiction where it is not then so qualified or to take any action which would subject it to taxation or general service of process in any such jurisdiction where it is not then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within two (2) Business Days after a Registration Statement which covers Registrable Securities is ordered effective by the SEC, the Company shall deliver to the transfer agent for such Registrable Securities (with copies to the Participating Holder whose Registrable Securities are included in such Registration Statement) confirmation that such Registration Statement has been declared effective by the SEC; </w:t>
      </w:r>
    </w:p>
    <w:p>
      <w:pPr>
        <w:pStyle w:val="TextBody"/>
        <w:bidi w:val="0"/>
        <w:spacing w:before="240" w:after="0"/>
        <w:jc w:val="both"/>
        <w:rPr>
          <w:rFonts w:ascii="Times New Roman" w:hAnsi="Times New Roman"/>
          <w:sz w:val="20"/>
        </w:rPr>
      </w:pPr>
      <w:r>
        <w:rPr>
          <w:rFonts w:ascii="Times New Roman" w:hAnsi="Times New Roman"/>
          <w:sz w:val="20"/>
        </w:rPr>
        <w:t xml:space="preserve">(j) cooperate with each Participating Holder participating in the disposition of such Registrable Securities and their respective counsel in connection with any filings required to be made with FINRA or any other securities regulatory authority; </w:t>
      </w:r>
    </w:p>
    <w:p>
      <w:pPr>
        <w:pStyle w:val="TextBody"/>
        <w:bidi w:val="0"/>
        <w:spacing w:before="240" w:after="0"/>
        <w:jc w:val="both"/>
        <w:rPr>
          <w:rFonts w:ascii="Times New Roman" w:hAnsi="Times New Roman"/>
          <w:sz w:val="20"/>
        </w:rPr>
      </w:pPr>
      <w:r>
        <w:rPr>
          <w:rFonts w:ascii="Times New Roman" w:hAnsi="Times New Roman"/>
          <w:sz w:val="20"/>
        </w:rPr>
        <w:t xml:space="preserve">(k)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Participating Holders in writing if, at any time during the Effectiveness Period, the Company does not satisfy the conditions specified in Rule 172 and, as a result thereof, the Participating Holders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an earnings statement covering satisfying the provisions of Section 11(a)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(l) use commercially reasonable efforts to maintain the listing of all Registrable Securities on each securities exchange on which the Common Stock is then listed or quoted and on each inter-dealer quotation system on which any of the Common Stock is then quoted; and </w:t>
      </w:r>
    </w:p>
    <w:p>
      <w:pPr>
        <w:pStyle w:val="TextBody"/>
        <w:bidi w:val="0"/>
        <w:spacing w:before="240" w:after="0"/>
        <w:jc w:val="both"/>
        <w:rPr>
          <w:rFonts w:ascii="Times New Roman" w:hAnsi="Times New Roman"/>
          <w:sz w:val="20"/>
        </w:rPr>
      </w:pPr>
      <w:r>
        <w:rPr>
          <w:rFonts w:ascii="Times New Roman" w:hAnsi="Times New Roman"/>
          <w:sz w:val="20"/>
        </w:rPr>
        <w:t xml:space="preserve">(m) with a view to making available to the Purchasers the benefits of Rule 144 (or its successor rule) and any other rule or regulation of the SEC that may at any time permit the Purchasers to sell shares of Common Stock to the public without registration, the Company covenants and agrees to: (i) make and keep public information available, as those terms are understood and defined in Rule 144, until the earlier of (A) the date as all of the Registrable Securities shall have been otherwise transferred, new certificates for such Securities not bearing a legend restricting further transfer shall have been delivered by Company and subsequent public distribution of such Securities shall not require registration under the Securities Act or (B) such date as all of the Registrable Securities shall have been resold; (ii) file with the SEC in a timely manner all reports and other documents required of the Company under the Exchange Act; and (iii) furnish to each Purchaser upon request, as long as such Purchaser owns any Registrable Securities, (A) a written statement by the Company that it has complied with the reporting requirements of the Exchange Act, (B) a copy of the Company’s most recent Annual Report on Form 10-K or Quarterly Report on Form 10-Q, and (C) such other information as may be reasonably requested in order to avail such Purchaser of any rule or regulation of the SEC that permits the selling of any such Registrable Securities without registration. </w:t>
      </w:r>
    </w:p>
    <w:p>
      <w:pPr>
        <w:pStyle w:val="TextBody"/>
        <w:bidi w:val="0"/>
        <w:spacing w:before="240" w:after="0"/>
        <w:jc w:val="both"/>
        <w:rPr>
          <w:rFonts w:ascii="Times New Roman" w:hAnsi="Times New Roman"/>
          <w:sz w:val="20"/>
        </w:rPr>
      </w:pPr>
      <w:r>
        <w:rPr>
          <w:rFonts w:ascii="Times New Roman" w:hAnsi="Times New Roman"/>
          <w:sz w:val="20"/>
        </w:rPr>
        <w:t xml:space="preserve">2.4 </w:t>
      </w:r>
      <w:r>
        <w:rPr>
          <w:rFonts w:ascii="Times New Roman" w:hAnsi="Times New Roman"/>
          <w:sz w:val="20"/>
          <w:u w:val="single"/>
        </w:rPr>
        <w:t>Obligations of the Purchasers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Notwithstanding any other provision of the Agreement, no Holder of Registrable Securities may include any of its Registrable Securities in the Registration Statement pursuant to this Agreement unless the Holder furnishes to the Company a completed and signed selling stockholder questionnaire in customary form that contains such information regarding Purchaser, the securities of the Company held by Purchaser and the intended method of disposition of the Registrable Securities as shall be reasonably requested by the Company to effect the registration of the Registrable Securities, at least ten (10) Business Days prior to the first anticipated filing date of any Registration Statement if such Purchaser elects to have any of its Registrable Securities included in the Registration Statement. Each Holder who intends to include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Registrable Securities in the Registration Statement shall promptly furnish the Company in writing such other information as the Company may reasonably request in writing. Each Holder acknowledges and agrees that the information in the selling shareholder questionnaire or request for further information as described in this Section 2.4(a) will be used by the Company in the preparation of the Registration Statement and hereby consents to the inclusion of such information in the Registration Statement. The Company shall not be obligated to file more than one post-effective amendment or supplement in any sixty (60) day period following the date such Registration Statement is declared effective for the purposes of naming Holders as selling security holders who are not named in such Registration Statement at the time of effectiveness.</w:t>
      </w:r>
    </w:p>
    <w:p>
      <w:pPr>
        <w:pStyle w:val="TextBody"/>
        <w:bidi w:val="0"/>
        <w:spacing w:before="240" w:after="0"/>
        <w:jc w:val="both"/>
        <w:rPr>
          <w:rFonts w:ascii="Times New Roman" w:hAnsi="Times New Roman"/>
          <w:sz w:val="20"/>
        </w:rPr>
      </w:pPr>
      <w:r>
        <w:rPr>
          <w:rFonts w:ascii="Times New Roman" w:hAnsi="Times New Roman"/>
          <w:sz w:val="20"/>
        </w:rPr>
        <w:t xml:space="preserve">(b) Each Purchaser, by its acceptance of the Registrable Securities agrees to cooperate with the Company as reasonably requested by the Company in connection with the preparation and filing of a Registration Statement hereunder, unless such Purchaser has notified the Company in writing of its election to exclude all of its Registrable Securities from such Registration Statement. The Company may require each selling Holder to furnish to the Company a certified statement as to (i) the number of shares of Common Stock beneficially owned by such Holder and any affiliate thereof, (ii) any FINRA affiliations, (iii) any natural persons who have the power to vote or dispose of the Common Stock and (iv) any other information as may be requested by the SEC, FINRA or any state securities commission. Each Holder agrees by its acquisition of such Registrable Securities that, it will not commence a disposition of Registrable Securities under the Registration Statement until such Holder has received (i) written confirmation from the Company of the availability of the Registration Statement, or (ii) copies of the supplemented Prospectus and/or amended Registration Statement as described, and, in each case, has also received copies of any additional or supplemental filings that are incorporated or deemed to be incorporated by reference in such Prospectus or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(c) Each Purchaser agrees that, upon receipt of any notice from the Company of either (i) the commencement of an Allowed Delay pursuant to Section 2.1(b) or (ii) the happening of any event of the kind described in Section 2.3(d) and Section 2.3(e) hereof, such Purchaser will immediately discontinue disposition of Registrable Securities pursuant to the Registration Statement covering such Registrable Securities, until the Purchaser is advised by the Company that such dispositions may again be made and/or the use of the applicable Prospectus (as it may have been supplemented or amended) may be resumed and, if so directed by the Company, each Holder will deliver to the Company or destroy (at the Company’s expense) all copies, other than permanent file copies then in its possession, of the Prospectus covering such Registrable Securities current at the time of receipt of such notice. </w:t>
      </w:r>
    </w:p>
    <w:p>
      <w:pPr>
        <w:pStyle w:val="TextBody"/>
        <w:bidi w:val="0"/>
        <w:spacing w:before="240" w:after="0"/>
        <w:jc w:val="both"/>
        <w:rPr>
          <w:rFonts w:ascii="Times New Roman" w:hAnsi="Times New Roman"/>
          <w:sz w:val="20"/>
        </w:rPr>
      </w:pPr>
      <w:r>
        <w:rPr>
          <w:rFonts w:ascii="Times New Roman" w:hAnsi="Times New Roman"/>
          <w:sz w:val="20"/>
        </w:rPr>
        <w:t xml:space="preserve">2.5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by the Company</w:t>
      </w:r>
      <w:r>
        <w:rPr>
          <w:rFonts w:ascii="Times New Roman" w:hAnsi="Times New Roman"/>
          <w:sz w:val="20"/>
        </w:rPr>
        <w:t>. The Company will indemnify and hold harmless each Participating Holder who sells Registrable Securities covered by such Registration Statement and its officers, directors, members, employees, and agents, successors and assigns, and each other person, if any, who controls such Participating Holder within the meaning of the Securities Act, against any losses, claims, damages, liabilities and expense (including reasonable attorney fees) (collectively, “</w:t>
      </w:r>
      <w:r>
        <w:rPr>
          <w:rFonts w:ascii="Times New Roman" w:hAnsi="Times New Roman"/>
          <w:sz w:val="20"/>
          <w:u w:val="single"/>
        </w:rPr>
        <w:t>Losses</w:t>
      </w:r>
      <w:r>
        <w:rPr>
          <w:rFonts w:ascii="Times New Roman" w:hAnsi="Times New Roman"/>
          <w:sz w:val="20"/>
        </w:rPr>
        <w:t xml:space="preserve">”), actually incurred, joint or several, to which they may become subject under the Securities Act or otherwise, insofar as such Losses (or actions in respect thereof) arise out of or are based upon: (i) any untrue statement or alleged untrue statement of any material fact contained in any Registration Statement, any preliminary Prospectus or final Prospectus, or any amendment or supplement thereof or arising out of or relating to any omission or alleged omission to state therein a material fact required to be stated therein or necessary to make the statements therein (in the case of any Prospectus or form of prospectus or supplement thereto, in light of the circumstances under which they were made) not misleading; or (ii) any violation by the Company or its agents of any rule or regulation promulgated under the Securities Act applicable to the Company or its agents and relating to action or inaction required of the Company in connection with such registration; and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reimburse such Participating Holder who sells Registrable Securities covered by such Registration Statement, and each such officer, director, employee, agent or member and each such controlling person for any legal or other expenses reasonably incurred by them in connection with investigating or defending any such Loss or action;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that the Company will not be liable in any such case to the extent that any such Losses arise out of or are based upon (x) an untrue statement or alleged untrue statement or omission or alleged omission so made in reliance upon or in conformity with information furnished by such Purchaser or any such controlling person in writing specifically for use in such Registration Statement or Prospectus (preliminary, final or summary) or any amendment or supplement thereto or to the extent that such information relates to such Holder or such Holder’s proposed method of distribution of Registrable Securities and was reviewed and approved in writing by such Holder expressly for use in the Registration Statement, such Prospectus or such form of Prospectus or in any amendment or supplement thereto (it being understood that each Holder has approved</w:t>
      </w:r>
      <w:r>
        <w:rPr>
          <w:rFonts w:ascii="Times New Roman" w:hAnsi="Times New Roman"/>
          <w:sz w:val="20"/>
          <w:u w:val="single"/>
        </w:rPr>
        <w:t> Annex A</w:t>
      </w:r>
      <w:r>
        <w:rPr>
          <w:rFonts w:ascii="Times New Roman" w:hAnsi="Times New Roman"/>
          <w:sz w:val="20"/>
        </w:rPr>
        <w:t xml:space="preserve"> hereto for this purpose), (y) the use by a Holder of an outdated or defective Prospectus after the Company has notified such Holder in writing that such Prospectus is outdated or defective or (z) a Purchaser’s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omission or alleged omission at or prior to the written confirmation of the sale of Registrable Securities to such Person if such statement or omission was corrected in such Prospectus or supplement.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Participating Holders</w:t>
      </w:r>
      <w:r>
        <w:rPr>
          <w:rFonts w:ascii="Times New Roman" w:hAnsi="Times New Roman"/>
          <w:sz w:val="20"/>
        </w:rPr>
        <w:t xml:space="preserve">. Each Purchaser agrees, severally but not jointly with any other Purchaser, to indemnify and hold harmless, to the fullest extent permitted by law, the Company, its directors, officers, employees, stockholders, agents, and each person who controls the Company (within the meaning of the Securities Act and the Exchange Act) against any Losses (i) arising out of, based on, or resulting from any untrue statement or alleged untrue statement of a material fact or any omission or alleged omission of a material fact required to be stated in any Registration Statement or Prospectus (preliminary, final or summary) or any amendment or supplement thereto or necessary to make the statements therein (in the case of any Prospectus or form of prospectus or supplement thereto, in light of the circumstances under which they were made) not misleading, to the extent, but only to the extent that such untrue statement or alleged untrue statement or omission or alleged omission is contained in any information furnished in writing by such Purchaser to the Company specifically for inclusion in such Registration Statement or Prospectus or amendment or supplement thereto, or a document incorporated by reference into any of the foregoing; or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Annex A hereto for this purpose), such Prospectus or such form of Prospectus or in any amendment or supplement thereto or (ii) related to the use by such Holder of an outdated or defective Prospectus after the Company has notified such Holder in writing that the Prospectus is outdated or defective. In no event shall the liability of any selling Holder hereunder be greater in amount than the dollar amount of the net proceeds received by such Holder upon the sale of the Registrable Securities included in the Registration Statement giving rise to such indemnification obligation.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Indemnification Proceedings</w:t>
      </w:r>
      <w:r>
        <w:rPr>
          <w:rFonts w:ascii="Times New Roman" w:hAnsi="Times New Roman"/>
          <w:sz w:val="20"/>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that such indemnified party shall, at the expense of the indemnified party, be entitled to counsel of its own choosing to monitor such defense);</w:t>
      </w:r>
      <w:r>
        <w:rPr>
          <w:rFonts w:ascii="Times New Roman" w:hAnsi="Times New Roman"/>
          <w:sz w:val="20"/>
          <w:u w:val="single"/>
        </w:rPr>
        <w:t> provided</w:t>
      </w:r>
      <w:r>
        <w:rPr>
          <w:rFonts w:ascii="Times New Roman" w:hAnsi="Times New Roman"/>
          <w:sz w:val="20"/>
        </w:rPr>
        <w:t xml:space="preserve"> that, subject to the preceding sentence,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further</w:t>
      </w:r>
      <w:r>
        <w:rPr>
          <w:rFonts w:ascii="Times New Roman" w:hAnsi="Times New Roman"/>
          <w:sz w:val="20"/>
        </w:rPr>
        <w:t xml:space="preserve">,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 The indemnification provided for under this Agreement shall remain in full force and effect regardless of any investigation made by or on behalf of the indemnified party, or any officer, director, employee, agent, affiliate, or controlling person of such indemnified party and shall survive the transfer of the Securities.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Securities Act shall be entitled to contribution from any Person not guilty of such fraudulent misrepresentation. In no event shall the contribution obligation of a Holder be greater in amount than the dollar amount of the net proceeds received by it upon the sale of the Registrable Securities giving rise to such contribution obligation.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Governing Law; Jurisdiction</w:t>
      </w:r>
      <w:r>
        <w:rPr>
          <w:rFonts w:ascii="Times New Roman" w:hAnsi="Times New Roman"/>
          <w:sz w:val="20"/>
        </w:rPr>
        <w:t xml:space="preserve">. This Agreement shall be governed by, and construed in accordance with, the internal laws of the State of New York without regard to the choice of law principles thereof. Each of the parties hereto irrevocably submits to the exclusive jurisdiction of the state and federal courts located in the State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of the parties hereto irrevocably waives any objection to the laying of venue of any such suit, action or proceeding brought in such courts and irrevocably waives any claim that any such suit, action or proceeding brought in any such court has been brought in an inconvenient forum. </w:t>
      </w:r>
    </w:p>
    <w:p>
      <w:pPr>
        <w:pStyle w:val="TextBody"/>
        <w:bidi w:val="0"/>
        <w:spacing w:before="240" w:after="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Assignments and Transfers by Purchasers</w:t>
      </w:r>
      <w:r>
        <w:rPr>
          <w:rFonts w:ascii="Times New Roman" w:hAnsi="Times New Roman"/>
          <w:sz w:val="20"/>
        </w:rPr>
        <w:t xml:space="preserve">. The provisions of this Agreement shall be binding upon and inure to the benefit of the Purchasers and their respective successors and assigns. A Holder may transfer or assign, in whole or from time to time in part, to one or more persons its rights hereunder in connection with the transfer of Registrable Securities by such Holder to such person, </w:t>
      </w:r>
      <w:r>
        <w:rPr>
          <w:rFonts w:ascii="Times New Roman" w:hAnsi="Times New Roman"/>
          <w:sz w:val="20"/>
          <w:u w:val="single"/>
        </w:rPr>
        <w:t>provided</w:t>
      </w:r>
      <w:r>
        <w:rPr>
          <w:rFonts w:ascii="Times New Roman" w:hAnsi="Times New Roman"/>
          <w:sz w:val="20"/>
        </w:rPr>
        <w:t xml:space="preserve"> that such Holder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3.3 </w:t>
      </w:r>
      <w:r>
        <w:rPr>
          <w:rFonts w:ascii="Times New Roman" w:hAnsi="Times New Roman"/>
          <w:sz w:val="20"/>
          <w:u w:val="single"/>
        </w:rPr>
        <w:t>Assignments and Transfers by the Company</w:t>
      </w:r>
      <w:r>
        <w:rPr>
          <w:rFonts w:ascii="Times New Roman" w:hAnsi="Times New Roman"/>
          <w:sz w:val="20"/>
        </w:rPr>
        <w:t xml:space="preserve">. This Agreement may not be assigned by the Company (whether by operation of law or otherwise) without the prior written consent of the Required 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Holders in connection with such transaction unless such securities are otherwise freely tradable by the Holders after giving effect to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3.4 </w:t>
      </w:r>
      <w:r>
        <w:rPr>
          <w:rFonts w:ascii="Times New Roman" w:hAnsi="Times New Roman"/>
          <w:sz w:val="20"/>
          <w:u w:val="single"/>
        </w:rPr>
        <w:t>Entire Agreement; Amendment</w:t>
      </w:r>
      <w:r>
        <w:rPr>
          <w:rFonts w:ascii="Times New Roman" w:hAnsi="Times New Roman"/>
          <w:sz w:val="20"/>
        </w:rPr>
        <w:t xml:space="preserve">. This Agreement and the other Transaction Agreements constitute the full and entire understanding and agreement between the parties with regard to the subjects hereof and thereof. Any previous agreements among the parties relative to the specific subject matter hereof are superseded by this Agreement. This Agreement may be amended only by a writing signed by the Company and the Required Holders, provided that the consent of each Holder shall be required for any amendment, modification or waiver of Section 2.1(d), Section 2.5, the definition of Filing Deadline or the definition of Effectiveness Deadline. The Company may take any action herein prohibited, or omit to perform any act herein required to be performed by it, only if the Company shall have obtained the written consent to such amendment, action or omission to act of the Required Holders. </w:t>
      </w:r>
    </w:p>
    <w:p>
      <w:pPr>
        <w:pStyle w:val="TextBody"/>
        <w:bidi w:val="0"/>
        <w:spacing w:before="240" w:after="0"/>
        <w:jc w:val="both"/>
        <w:rPr>
          <w:rFonts w:ascii="Times New Roman" w:hAnsi="Times New Roman"/>
          <w:sz w:val="20"/>
        </w:rPr>
      </w:pPr>
      <w:r>
        <w:rPr>
          <w:rFonts w:ascii="Times New Roman" w:hAnsi="Times New Roman"/>
          <w:sz w:val="20"/>
        </w:rPr>
        <w:t xml:space="preserve">3.5 </w:t>
      </w:r>
      <w:r>
        <w:rPr>
          <w:rFonts w:ascii="Times New Roman" w:hAnsi="Times New Roman"/>
          <w:sz w:val="20"/>
          <w:u w:val="single"/>
        </w:rPr>
        <w:t>Notices</w:t>
      </w:r>
      <w:r>
        <w:rPr>
          <w:rFonts w:ascii="Times New Roman" w:hAnsi="Times New Roman"/>
          <w:sz w:val="20"/>
        </w:rPr>
        <w:t xml:space="preserve">. All notices and other communications provided for or permitted hereunder shall be made as set forth in Section 8.3 of the Purchase Agreement. </w:t>
      </w:r>
    </w:p>
    <w:p>
      <w:pPr>
        <w:pStyle w:val="TextBody"/>
        <w:bidi w:val="0"/>
        <w:spacing w:before="240" w:after="0"/>
        <w:jc w:val="both"/>
        <w:rPr>
          <w:rFonts w:ascii="Times New Roman" w:hAnsi="Times New Roman"/>
          <w:sz w:val="20"/>
        </w:rPr>
      </w:pPr>
      <w:r>
        <w:rPr>
          <w:rFonts w:ascii="Times New Roman" w:hAnsi="Times New Roman"/>
          <w:sz w:val="20"/>
        </w:rPr>
        <w:t xml:space="preserve">3.6 </w:t>
      </w:r>
      <w:r>
        <w:rPr>
          <w:rFonts w:ascii="Times New Roman" w:hAnsi="Times New Roman"/>
          <w:sz w:val="20"/>
          <w:u w:val="single"/>
        </w:rPr>
        <w:t>Third Parties</w:t>
      </w:r>
      <w:r>
        <w:rPr>
          <w:rFonts w:ascii="Times New Roman" w:hAnsi="Times New Roman"/>
          <w:sz w:val="20"/>
        </w:rPr>
        <w:t xml:space="preserve">. This Agreement does not create any rights, claims or benefits inuring to any person that is not a party hereto nor create or establish any third party beneficiary hereto; </w:t>
      </w:r>
      <w:r>
        <w:rPr>
          <w:rFonts w:ascii="Times New Roman" w:hAnsi="Times New Roman"/>
          <w:sz w:val="20"/>
          <w:u w:val="single"/>
        </w:rPr>
        <w:t>provided</w:t>
      </w:r>
      <w:r>
        <w:rPr>
          <w:rFonts w:ascii="Times New Roman" w:hAnsi="Times New Roman"/>
          <w:sz w:val="20"/>
        </w:rPr>
        <w:t xml:space="preserve">, that the indemnified parties are intended third party beneficiaries of Section 2.5. </w:t>
      </w:r>
    </w:p>
    <w:p>
      <w:pPr>
        <w:pStyle w:val="TextBody"/>
        <w:bidi w:val="0"/>
        <w:spacing w:before="240" w:after="0"/>
        <w:jc w:val="both"/>
        <w:rPr>
          <w:rFonts w:ascii="Times New Roman" w:hAnsi="Times New Roman"/>
          <w:sz w:val="20"/>
        </w:rPr>
      </w:pPr>
      <w:r>
        <w:rPr>
          <w:rFonts w:ascii="Times New Roman" w:hAnsi="Times New Roman"/>
          <w:sz w:val="20"/>
        </w:rPr>
        <w:t xml:space="preserve">3.7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both"/>
        <w:rPr>
          <w:rFonts w:ascii="Times New Roman" w:hAnsi="Times New Roman"/>
          <w:sz w:val="20"/>
        </w:rPr>
      </w:pPr>
      <w:r>
        <w:rPr>
          <w:rFonts w:ascii="Times New Roman" w:hAnsi="Times New Roman"/>
          <w:sz w:val="20"/>
        </w:rPr>
        <w:t xml:space="preserve">3.8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Agreement and shall not be deemed to limit or affect any of the provisions hereof. </w:t>
      </w:r>
    </w:p>
    <w:p>
      <w:pPr>
        <w:pStyle w:val="TextBody"/>
        <w:bidi w:val="0"/>
        <w:spacing w:before="240" w:after="0"/>
        <w:jc w:val="both"/>
        <w:rPr>
          <w:rFonts w:ascii="Times New Roman" w:hAnsi="Times New Roman"/>
          <w:sz w:val="20"/>
        </w:rPr>
      </w:pPr>
      <w:r>
        <w:rPr>
          <w:rFonts w:ascii="Times New Roman" w:hAnsi="Times New Roman"/>
          <w:sz w:val="20"/>
        </w:rPr>
        <w:t xml:space="preserve">3.9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3.10 </w:t>
      </w:r>
      <w:r>
        <w:rPr>
          <w:rFonts w:ascii="Times New Roman" w:hAnsi="Times New Roman"/>
          <w:sz w:val="20"/>
          <w:u w:val="single"/>
        </w:rPr>
        <w:t>Delays or Omissions</w:t>
      </w:r>
      <w:r>
        <w:rPr>
          <w:rFonts w:ascii="Times New Roman" w:hAnsi="Times New Roman"/>
          <w:sz w:val="20"/>
        </w:rPr>
        <w:t xml:space="preserve">. It is agreed that no delay or omission to exercise any right, power or remedy accruing to any party upon any breach or default of any other party under this Agreement shall impair any such right, power or remedy, nor shall it be construed to be a waiver of any such breach or default, or any acquiescence therein, or of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of any breach or default under this Agreement, or any waiver of any provisions or conditions of this Agreement must be in writing and shall be effective only to the extent specifically set forth in writing, and that all remedies, either under this Agreement, by law or otherwise, shall be cumulative and not alternative. </w:t>
      </w:r>
    </w:p>
    <w:p>
      <w:pPr>
        <w:pStyle w:val="TextBody"/>
        <w:bidi w:val="0"/>
        <w:spacing w:before="240" w:after="0"/>
        <w:jc w:val="both"/>
        <w:rPr>
          <w:rFonts w:ascii="Times New Roman" w:hAnsi="Times New Roman"/>
          <w:sz w:val="20"/>
        </w:rPr>
      </w:pPr>
      <w:r>
        <w:rPr>
          <w:rFonts w:ascii="Times New Roman" w:hAnsi="Times New Roman"/>
          <w:sz w:val="20"/>
        </w:rPr>
        <w:t xml:space="preserve">3.11 </w:t>
      </w:r>
      <w:r>
        <w:rPr>
          <w:rFonts w:ascii="Times New Roman" w:hAnsi="Times New Roman"/>
          <w:sz w:val="20"/>
          <w:u w:val="single"/>
        </w:rPr>
        <w:t>Consents</w:t>
      </w:r>
      <w:r>
        <w:rPr>
          <w:rFonts w:ascii="Times New Roman" w:hAnsi="Times New Roman"/>
          <w:sz w:val="20"/>
        </w:rPr>
        <w:t xml:space="preserve">. Any permission, consent, or approval of any kind or character under this Agreement shall be in writing and shall be effective only to the extent specifically set forth in such writing. </w:t>
      </w:r>
    </w:p>
    <w:p>
      <w:pPr>
        <w:pStyle w:val="TextBody"/>
        <w:bidi w:val="0"/>
        <w:spacing w:before="240" w:after="0"/>
        <w:jc w:val="both"/>
        <w:rPr>
          <w:rFonts w:ascii="Times New Roman" w:hAnsi="Times New Roman"/>
          <w:sz w:val="20"/>
        </w:rPr>
      </w:pPr>
      <w:r>
        <w:rPr>
          <w:rFonts w:ascii="Times New Roman" w:hAnsi="Times New Roman"/>
          <w:sz w:val="20"/>
        </w:rPr>
        <w:t xml:space="preserve">3.12 </w:t>
      </w:r>
      <w:r>
        <w:rPr>
          <w:rFonts w:ascii="Times New Roman" w:hAnsi="Times New Roman"/>
          <w:sz w:val="20"/>
          <w:u w:val="single"/>
        </w:rPr>
        <w:t>SPECIFIC PERFORMANCE</w:t>
      </w:r>
      <w:r>
        <w:rPr>
          <w:rFonts w:ascii="Times New Roman" w:hAnsi="Times New Roman"/>
          <w:sz w:val="20"/>
        </w:rPr>
        <w:t xml:space="preserve">. THE PARTIES HERETO AGREE THAT IRREPARABLE DAMAGE WOULD OCCUR IN THE EVENT THAT ANY OF THE PROVISIONS OF THIS AGREEMENT WERE NOT PERFORMED IN ACCORDANCE WITH ITS SPECIFIC INTENT OR WERE OTHERWISE BREACHED. IT IS ACCORDINGLY AGREED THAT THE PARTIES SHALL BE ENTITLED TO AN INJUNCTION OR INJUNCTIONS, WITHOUT BOND, TO PREVENT OR CURE BREACHES OF THE PROVISIONS OF THIS AGREEMENT AND TO ENFORCE SPECIFICALLY THE TERMS AND PROVISIONS HEREOF, THIS BEING IN ADDITION TO ANY OTHER REMEDY TO WHICH THEY MAY BE ENTITLED BY LAW OR EQUITY, AND ANY PARTY SUED FOR BREACH OF THIS AGREEMENT EXPRESSLY WAIVES ANY DEFENSE THAT A REMEDY IN DAMAGES WOULD BE ADEQUATE. </w:t>
      </w:r>
    </w:p>
    <w:p>
      <w:pPr>
        <w:pStyle w:val="TextBody"/>
        <w:bidi w:val="0"/>
        <w:spacing w:before="240" w:after="0"/>
        <w:jc w:val="both"/>
        <w:rPr>
          <w:rFonts w:ascii="Times New Roman" w:hAnsi="Times New Roman"/>
          <w:sz w:val="20"/>
        </w:rPr>
      </w:pPr>
      <w:r>
        <w:rPr>
          <w:rFonts w:ascii="Times New Roman" w:hAnsi="Times New Roman"/>
          <w:sz w:val="20"/>
        </w:rPr>
        <w:t xml:space="preserve">3.13 </w:t>
      </w:r>
      <w:r>
        <w:rPr>
          <w:rFonts w:ascii="Times New Roman" w:hAnsi="Times New Roman"/>
          <w:sz w:val="20"/>
          <w:u w:val="single"/>
        </w:rPr>
        <w:t>Construction of Agreement</w:t>
      </w:r>
      <w:r>
        <w:rPr>
          <w:rFonts w:ascii="Times New Roman" w:hAnsi="Times New Roman"/>
          <w:sz w:val="20"/>
        </w:rPr>
        <w:t xml:space="preserve">. No provision of this Agreement shall be construed against either party as the drafter thereof. </w:t>
      </w:r>
    </w:p>
    <w:p>
      <w:pPr>
        <w:pStyle w:val="TextBody"/>
        <w:bidi w:val="0"/>
        <w:spacing w:before="240" w:after="0"/>
        <w:jc w:val="both"/>
        <w:rPr>
          <w:rFonts w:ascii="Times New Roman" w:hAnsi="Times New Roman"/>
          <w:sz w:val="20"/>
        </w:rPr>
      </w:pPr>
      <w:r>
        <w:rPr>
          <w:rFonts w:ascii="Times New Roman" w:hAnsi="Times New Roman"/>
          <w:sz w:val="20"/>
        </w:rPr>
        <w:t xml:space="preserve">3.14 </w:t>
      </w:r>
      <w:r>
        <w:rPr>
          <w:rFonts w:ascii="Times New Roman" w:hAnsi="Times New Roman"/>
          <w:sz w:val="20"/>
          <w:u w:val="single"/>
        </w:rPr>
        <w:t>Section References</w:t>
      </w:r>
      <w:r>
        <w:rPr>
          <w:rFonts w:ascii="Times New Roman" w:hAnsi="Times New Roman"/>
          <w:sz w:val="20"/>
        </w:rPr>
        <w:t xml:space="preserve">. Unless otherwise stated, any reference contained herein to a Section or subsection refers to the provisions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3.15 </w:t>
      </w:r>
      <w:r>
        <w:rPr>
          <w:rFonts w:ascii="Times New Roman" w:hAnsi="Times New Roman"/>
          <w:sz w:val="20"/>
          <w:u w:val="single"/>
        </w:rPr>
        <w:t>Variations of Pronouns</w:t>
      </w:r>
      <w:r>
        <w:rPr>
          <w:rFonts w:ascii="Times New Roman" w:hAnsi="Times New Roman"/>
          <w:sz w:val="20"/>
        </w:rPr>
        <w:t xml:space="preserve">. All pronouns and all variations thereof shall be deemed to refer to the masculine, feminine, or neuter, singular or plural, as the context in which they are used may require.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persons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WHITEHAWK THERAPEUTICS,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vAlign w:val="bottom"/>
          </w:tcPr>
          <w:p>
            <w:pPr>
              <w:pStyle w:val="TableContents"/>
              <w:bidi w:val="0"/>
              <w:spacing w:before="0" w:after="283"/>
              <w:jc w:val="left"/>
              <w:rPr/>
            </w:pPr>
            <w:r>
              <w:rPr/>
              <w:t>/s/ David J. Lennon</w:t>
            </w:r>
          </w:p>
        </w:tc>
      </w:tr>
      <w:tr>
        <w:trPr/>
        <w:tc>
          <w:tcPr>
            <w:tcW w:w="6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David J. Lennon, Ph.D.</w:t>
            </w:r>
          </w:p>
        </w:tc>
      </w:tr>
      <w:tr>
        <w:trPr/>
        <w:tc>
          <w:tcPr>
            <w:tcW w:w="6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1"/>
        <w:gridCol w:w="60"/>
        <w:gridCol w:w="3331"/>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COASTLANDS CAPITAL PARTNERS LP</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vAlign w:val="bottom"/>
          </w:tcPr>
          <w:p>
            <w:pPr>
              <w:pStyle w:val="TableContents"/>
              <w:bidi w:val="0"/>
              <w:spacing w:before="0" w:after="283"/>
              <w:jc w:val="left"/>
              <w:rPr/>
            </w:pPr>
            <w:r>
              <w:rPr/>
              <w:t>/s/ Mark Shamia</w:t>
            </w:r>
          </w:p>
        </w:tc>
      </w:tr>
      <w:tr>
        <w:trPr/>
        <w:tc>
          <w:tcPr>
            <w:tcW w:w="69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Mark Shamia</w:t>
            </w:r>
          </w:p>
        </w:tc>
      </w:tr>
      <w:tr>
        <w:trPr/>
        <w:tc>
          <w:tcPr>
            <w:tcW w:w="69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left"/>
              <w:rPr/>
            </w:pPr>
            <w:r>
              <w:rPr/>
              <w:t>CFO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QVT Family Office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its general partner, QVT Associates GP LLC</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vAlign w:val="bottom"/>
          </w:tcPr>
          <w:p>
            <w:pPr>
              <w:pStyle w:val="TableContents"/>
              <w:bidi w:val="0"/>
              <w:spacing w:before="0" w:after="283"/>
              <w:jc w:val="left"/>
              <w:rPr/>
            </w:pPr>
            <w:r>
              <w:rPr/>
              <w:t>/s/ Keith Manchester</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Keith Manchester</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0"/>
        <w:gridCol w:w="61"/>
        <w:gridCol w:w="3321"/>
      </w:tblGrid>
      <w:tr>
        <w:trPr/>
        <w:tc>
          <w:tcPr>
            <w:tcW w:w="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Avoro Life Sciences Fund LLC</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vAlign w:val="bottom"/>
          </w:tcPr>
          <w:p>
            <w:pPr>
              <w:pStyle w:val="TableContents"/>
              <w:bidi w:val="0"/>
              <w:spacing w:before="0" w:after="283"/>
              <w:jc w:val="left"/>
              <w:rPr/>
            </w:pPr>
            <w:r>
              <w:rPr/>
              <w:t>/s/ Scott Epstein</w:t>
            </w:r>
          </w:p>
        </w:tc>
      </w:tr>
      <w:tr>
        <w:trPr/>
        <w:tc>
          <w:tcPr>
            <w:tcW w:w="70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Scott Epstein</w:t>
            </w:r>
          </w:p>
        </w:tc>
      </w:tr>
      <w:tr>
        <w:trPr/>
        <w:tc>
          <w:tcPr>
            <w:tcW w:w="700"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Partner, COO &amp; CCO</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1"/>
        <w:gridCol w:w="3324"/>
      </w:tblGrid>
      <w:tr>
        <w:trPr/>
        <w:tc>
          <w:tcPr>
            <w:tcW w:w="6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AVICENNA LIFE SCI MASTER FUND LP</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vAlign w:val="bottom"/>
          </w:tcPr>
          <w:p>
            <w:pPr>
              <w:pStyle w:val="TableContents"/>
              <w:bidi w:val="0"/>
              <w:spacing w:before="0" w:after="283"/>
              <w:jc w:val="left"/>
              <w:rPr/>
            </w:pPr>
            <w:r>
              <w:rPr/>
              <w:t>/s/ Philip Bafundo</w:t>
            </w:r>
          </w:p>
        </w:tc>
      </w:tr>
      <w:tr>
        <w:trPr/>
        <w:tc>
          <w:tcPr>
            <w:tcW w:w="69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Philip Bafundo</w:t>
            </w:r>
          </w:p>
        </w:tc>
      </w:tr>
      <w:tr>
        <w:trPr/>
        <w:tc>
          <w:tcPr>
            <w:tcW w:w="697"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CFO of the General Partner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1"/>
        <w:gridCol w:w="3324"/>
      </w:tblGrid>
      <w:tr>
        <w:trPr/>
        <w:tc>
          <w:tcPr>
            <w:tcW w:w="6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INVUS PUBLIC EQUITIES, L.P.</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vAlign w:val="bottom"/>
          </w:tcPr>
          <w:p>
            <w:pPr>
              <w:pStyle w:val="TableContents"/>
              <w:bidi w:val="0"/>
              <w:spacing w:before="0" w:after="283"/>
              <w:jc w:val="left"/>
              <w:rPr/>
            </w:pPr>
            <w:r>
              <w:rPr/>
              <w:t>/s/ Philip Bafundo</w:t>
            </w:r>
          </w:p>
        </w:tc>
      </w:tr>
      <w:tr>
        <w:trPr/>
        <w:tc>
          <w:tcPr>
            <w:tcW w:w="69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Philip Bafundo</w:t>
            </w:r>
          </w:p>
        </w:tc>
      </w:tr>
      <w:tr>
        <w:trPr/>
        <w:tc>
          <w:tcPr>
            <w:tcW w:w="697"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CFO of the General Partner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StemPoint Capital Master Fund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vAlign w:val="bottom"/>
          </w:tcPr>
          <w:p>
            <w:pPr>
              <w:pStyle w:val="TableContents"/>
              <w:bidi w:val="0"/>
              <w:spacing w:before="0" w:after="283"/>
              <w:jc w:val="left"/>
              <w:rPr/>
            </w:pPr>
            <w:r>
              <w:rPr/>
              <w:t>/s/ Sean C. Tan</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Sean C. Tan</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President and Managing Partner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Acuta Capital Fund, LP</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pPr>
            <w:r>
              <w:rPr/>
              <w:t>/s/ Scott R. Smith</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Scott R. Smith</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Operating Officer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Caley M. Castelein IRA</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vAlign w:val="bottom"/>
          </w:tcPr>
          <w:p>
            <w:pPr>
              <w:pStyle w:val="TableContents"/>
              <w:bidi w:val="0"/>
              <w:spacing w:before="0" w:after="283"/>
              <w:jc w:val="left"/>
              <w:rPr/>
            </w:pPr>
            <w:r>
              <w:rPr/>
              <w:t>/s/ Caley Castelein</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Caley Castelein</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Individual</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CALEY M. CASTELEIN IRA (ROTH)</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283"/>
              <w:jc w:val="left"/>
              <w:rPr/>
            </w:pPr>
            <w:r>
              <w:rPr/>
              <w:t>/s/ Caley Castelein</w:t>
            </w:r>
          </w:p>
        </w:tc>
      </w:tr>
      <w:tr>
        <w:trPr/>
        <w:tc>
          <w:tcPr>
            <w:tcW w:w="677"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Caley Castelein</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Acuta Opportunity Fund, LP</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pPr>
            <w:r>
              <w:rPr/>
              <w:t>/s/ Scott R. Smith</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Scott R. Smith</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Operating Officer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0"/>
        <w:gridCol w:w="61"/>
        <w:gridCol w:w="3321"/>
      </w:tblGrid>
      <w:tr>
        <w:trPr/>
        <w:tc>
          <w:tcPr>
            <w:tcW w:w="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DAVID J. LENNON</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vAlign w:val="bottom"/>
          </w:tcPr>
          <w:p>
            <w:pPr>
              <w:pStyle w:val="TableContents"/>
              <w:bidi w:val="0"/>
              <w:spacing w:before="0" w:after="283"/>
              <w:jc w:val="left"/>
              <w:rPr/>
            </w:pPr>
            <w:r>
              <w:rPr/>
              <w:t>/s/ David J. Lennon</w:t>
            </w:r>
          </w:p>
        </w:tc>
      </w:tr>
      <w:tr>
        <w:trPr/>
        <w:tc>
          <w:tcPr>
            <w:tcW w:w="70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David J. Lennon</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SCOTT GIACOBELLO</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vAlign w:val="bottom"/>
          </w:tcPr>
          <w:p>
            <w:pPr>
              <w:pStyle w:val="TableContents"/>
              <w:bidi w:val="0"/>
              <w:spacing w:before="0" w:after="283"/>
              <w:jc w:val="left"/>
              <w:rPr/>
            </w:pPr>
            <w:r>
              <w:rPr/>
              <w:t>/s/ Scott Giacobello</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Scott Giacobello</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2"/>
        <w:gridCol w:w="60"/>
        <w:gridCol w:w="3360"/>
      </w:tblGrid>
      <w:tr>
        <w:trPr/>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ADAR1 Partners, LP</w:t>
            </w:r>
          </w:p>
        </w:tc>
      </w:tr>
      <w:tr>
        <w:trPr>
          <w:trHeight w:val="240" w:hRule="atLeast"/>
        </w:trPr>
        <w:tc>
          <w:tcPr>
            <w:tcW w:w="662" w:type="dxa"/>
            <w:tcBorders/>
            <w:vAlign w:val="center"/>
          </w:tcPr>
          <w:p>
            <w:pPr>
              <w:pStyle w:val="TableContents"/>
              <w:bidi w:val="0"/>
              <w:spacing w:before="0" w:after="283"/>
              <w:jc w:val="left"/>
              <w:rPr>
                <w:sz w:val="4"/>
                <w:szCs w:val="4"/>
              </w:rPr>
            </w:pPr>
            <w:r>
              <w:rPr>
                <w:sz w:val="4"/>
                <w:szCs w:val="4"/>
              </w:rPr>
            </w:r>
          </w:p>
        </w:tc>
        <w:tc>
          <w:tcPr>
            <w:tcW w:w="3420" w:type="dxa"/>
            <w:gridSpan w:val="2"/>
            <w:tcBorders/>
            <w:vAlign w:val="center"/>
          </w:tcPr>
          <w:p>
            <w:pPr>
              <w:pStyle w:val="TableContents"/>
              <w:bidi w:val="0"/>
              <w:spacing w:before="0" w:after="283"/>
              <w:jc w:val="left"/>
              <w:rPr>
                <w:sz w:val="4"/>
                <w:szCs w:val="4"/>
              </w:rPr>
            </w:pPr>
            <w:r>
              <w:rPr>
                <w:sz w:val="4"/>
                <w:szCs w:val="4"/>
              </w:rPr>
            </w:r>
          </w:p>
        </w:tc>
      </w:tr>
      <w:tr>
        <w:trPr/>
        <w:tc>
          <w:tcPr>
            <w:tcW w:w="66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0" w:type="dxa"/>
            <w:tcBorders>
              <w:bottom w:val="single" w:sz="2" w:space="0" w:color="000000"/>
            </w:tcBorders>
            <w:tcMar>
              <w:bottom w:w="28" w:type="dxa"/>
            </w:tcMar>
            <w:vAlign w:val="bottom"/>
          </w:tcPr>
          <w:p>
            <w:pPr>
              <w:pStyle w:val="TableContents"/>
              <w:bidi w:val="0"/>
              <w:spacing w:before="0" w:after="283"/>
              <w:jc w:val="left"/>
              <w:rPr/>
            </w:pPr>
            <w:r>
              <w:rPr/>
              <w:t>/s/ Daniel Schneeberger</w:t>
            </w:r>
          </w:p>
        </w:tc>
      </w:tr>
      <w:tr>
        <w:trPr/>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283"/>
              <w:jc w:val="left"/>
              <w:rPr/>
            </w:pPr>
            <w:r>
              <w:rPr/>
              <w:t>Daniel Schneeberger</w:t>
            </w:r>
          </w:p>
        </w:tc>
      </w:tr>
      <w:tr>
        <w:trPr/>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0" w:type="dxa"/>
            <w:tcBorders/>
            <w:vAlign w:val="bottom"/>
          </w:tcPr>
          <w:p>
            <w:pPr>
              <w:pStyle w:val="TableContents"/>
              <w:bidi w:val="0"/>
              <w:spacing w:before="0" w:after="283"/>
              <w:jc w:val="left"/>
              <w:rPr/>
            </w:pPr>
            <w:r>
              <w:rPr/>
              <w:t>Manager of General Partner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0"/>
        <w:gridCol w:w="61"/>
        <w:gridCol w:w="3321"/>
      </w:tblGrid>
      <w:tr>
        <w:trPr/>
        <w:tc>
          <w:tcPr>
            <w:tcW w:w="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BRYAN BALL</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vAlign w:val="bottom"/>
          </w:tcPr>
          <w:p>
            <w:pPr>
              <w:pStyle w:val="TableContents"/>
              <w:bidi w:val="0"/>
              <w:spacing w:before="0" w:after="283"/>
              <w:jc w:val="left"/>
              <w:rPr/>
            </w:pPr>
            <w:r>
              <w:rPr/>
              <w:t>/s/ Bryan Ball</w:t>
            </w:r>
          </w:p>
        </w:tc>
      </w:tr>
      <w:tr>
        <w:trPr/>
        <w:tc>
          <w:tcPr>
            <w:tcW w:w="70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Bryan Ball</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1"/>
        <w:gridCol w:w="61"/>
        <w:gridCol w:w="3330"/>
      </w:tblGrid>
      <w:tr>
        <w:trPr/>
        <w:tc>
          <w:tcPr>
            <w:tcW w:w="69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Spearhead Insurance Solutions IDF, LLC – Series ADAR1</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vAlign w:val="bottom"/>
          </w:tcPr>
          <w:p>
            <w:pPr>
              <w:pStyle w:val="TableContents"/>
              <w:bidi w:val="0"/>
              <w:spacing w:before="0" w:after="283"/>
              <w:jc w:val="left"/>
              <w:rPr/>
            </w:pPr>
            <w:r>
              <w:rPr/>
              <w:t>/s/ Ken Foley</w:t>
            </w:r>
          </w:p>
        </w:tc>
      </w:tr>
      <w:tr>
        <w:trPr/>
        <w:tc>
          <w:tcPr>
            <w:tcW w:w="691"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Ken Foley</w:t>
            </w:r>
          </w:p>
        </w:tc>
      </w:tr>
      <w:tr>
        <w:trPr/>
        <w:tc>
          <w:tcPr>
            <w:tcW w:w="691"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Manager</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AVERILL MADISON MASTER FUND, LTD.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Andrew Nathanson</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Andrew Nathanson</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AVERILL MASTER FUND, LTD.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vAlign w:val="bottom"/>
          </w:tcPr>
          <w:p>
            <w:pPr>
              <w:pStyle w:val="TableContents"/>
              <w:bidi w:val="0"/>
              <w:spacing w:before="0" w:after="283"/>
              <w:jc w:val="left"/>
              <w:rPr/>
            </w:pPr>
            <w:r>
              <w:rPr/>
              <w:t>/s/ Andrew Nathanson</w:t>
            </w:r>
          </w:p>
        </w:tc>
      </w:tr>
      <w:tr>
        <w:trPr/>
        <w:tc>
          <w:tcPr>
            <w:tcW w:w="66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Andrew Nathanson</w:t>
            </w:r>
          </w:p>
        </w:tc>
      </w:tr>
      <w:tr>
        <w:trPr/>
        <w:tc>
          <w:tcPr>
            <w:tcW w:w="66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4"/>
        <w:gridCol w:w="61"/>
        <w:gridCol w:w="3337"/>
      </w:tblGrid>
      <w:tr>
        <w:trPr/>
        <w:tc>
          <w:tcPr>
            <w:tcW w:w="6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MARGARET DUGAN</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7" w:type="dxa"/>
            <w:tcBorders>
              <w:bottom w:val="single" w:sz="2" w:space="0" w:color="000000"/>
            </w:tcBorders>
            <w:tcMar>
              <w:bottom w:w="28" w:type="dxa"/>
            </w:tcMar>
            <w:vAlign w:val="bottom"/>
          </w:tcPr>
          <w:p>
            <w:pPr>
              <w:pStyle w:val="TableContents"/>
              <w:bidi w:val="0"/>
              <w:spacing w:before="0" w:after="283"/>
              <w:jc w:val="left"/>
              <w:rPr/>
            </w:pPr>
            <w:r>
              <w:rPr/>
              <w:t>/s/ Margaret Dugan</w:t>
            </w:r>
          </w:p>
        </w:tc>
      </w:tr>
      <w:tr>
        <w:trPr/>
        <w:tc>
          <w:tcPr>
            <w:tcW w:w="684"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Margaret Dugan</w:t>
            </w:r>
          </w:p>
        </w:tc>
      </w:tr>
    </w:tbl>
    <w:p>
      <w:pPr>
        <w:pStyle w:val="HorizontalLine"/>
        <w:pBdr>
          <w:bottom w:val="double" w:sz="6" w:space="0" w:color="808080"/>
        </w:pBdr>
        <w:bidi w:val="0"/>
        <w:jc w:val="left"/>
        <w:rPr/>
      </w:pPr>
      <w:r>
        <w:br w:type="page"/>
      </w: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executed this Agreement or caused their duly authorized officers to execute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0"/>
        <w:gridCol w:w="61"/>
        <w:gridCol w:w="3321"/>
      </w:tblGrid>
      <w:tr>
        <w:trPr/>
        <w:tc>
          <w:tcPr>
            <w:tcW w:w="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KVP Capital, LP</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vAlign w:val="bottom"/>
          </w:tcPr>
          <w:p>
            <w:pPr>
              <w:pStyle w:val="TableContents"/>
              <w:bidi w:val="0"/>
              <w:spacing w:before="0" w:after="283"/>
              <w:jc w:val="left"/>
              <w:rPr/>
            </w:pPr>
            <w:r>
              <w:rPr/>
              <w:t>/s/ Andrew Jensen</w:t>
            </w:r>
          </w:p>
        </w:tc>
      </w:tr>
      <w:tr>
        <w:trPr/>
        <w:tc>
          <w:tcPr>
            <w:tcW w:w="70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Andrew Jensen</w:t>
            </w:r>
          </w:p>
        </w:tc>
      </w:tr>
      <w:tr>
        <w:trPr/>
        <w:tc>
          <w:tcPr>
            <w:tcW w:w="700"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Member of KVP Capital, GP, LLC its General Partner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w:t>
      </w:r>
      <w:r>
        <w:rPr>
          <w:rFonts w:ascii="Times New Roman" w:hAnsi="Times New Roman"/>
          <w:sz w:val="20"/>
          <w:u w:val="single"/>
        </w:rPr>
        <w:t>provided</w:t>
      </w:r>
      <w:r>
        <w:rPr>
          <w:rFonts w:ascii="Times New Roman" w:hAnsi="Times New Roman"/>
          <w:sz w:val="20"/>
        </w:rPr>
        <w:t xml:space="preserve"> that they meet the criteria and conform to the requirements of that rule, or another available exemption from the registration requirements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both"/>
        <w:rPr>
          <w:rFonts w:ascii="Times New Roman" w:hAnsi="Times New Roman"/>
          <w:sz w:val="20"/>
        </w:rPr>
      </w:pPr>
      <w:r>
        <w:rPr>
          <w:rFonts w:ascii="Times New Roman" w:hAnsi="Times New Roman"/>
          <w:sz w:val="20"/>
        </w:rPr>
        <w:t xml:space="preserve">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that all the shares covered by this prospectus cease to be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Arial" w:hAnsi="Arial"/>
          <w:b/>
          <w:sz w:val="20"/>
        </w:rPr>
      </w:pPr>
      <w:bookmarkStart w:id="18" w:name="d155546dex231.htm"/>
      <w:bookmarkStart w:id="19" w:name="ksd155546dex231"/>
      <w:bookmarkEnd w:id="18"/>
      <w:bookmarkEnd w:id="19"/>
      <w:r>
        <w:rPr>
          <w:rFonts w:ascii="Arial" w:hAnsi="Arial"/>
          <w:b/>
          <w:sz w:val="20"/>
        </w:rPr>
        <w:t xml:space="preserve">Exhibit 23.1 </w:t>
      </w:r>
      <w:r>
        <w:br w:type="page"/>
      </w:r>
    </w:p>
    <w:p>
      <w:pPr>
        <w:pStyle w:val="TextBody"/>
        <w:bidi w:val="0"/>
        <w:spacing w:before="240" w:after="0"/>
        <w:jc w:val="center"/>
        <w:rPr>
          <w:rFonts w:ascii="Arial" w:hAnsi="Arial"/>
          <w:sz w:val="20"/>
          <w:u w:val="single"/>
        </w:rPr>
      </w:pPr>
      <w:r>
        <w:rPr>
          <w:rFonts w:ascii="Arial" w:hAnsi="Arial"/>
          <w:sz w:val="20"/>
          <w:u w:val="single"/>
        </w:rPr>
        <w:t xml:space="preserve">Consent of Independent Registered Public Accounting Firm </w:t>
      </w:r>
    </w:p>
    <w:p>
      <w:pPr>
        <w:pStyle w:val="TextBody"/>
        <w:bidi w:val="0"/>
        <w:spacing w:before="240" w:after="0"/>
        <w:jc w:val="both"/>
        <w:rPr>
          <w:rFonts w:ascii="Arial" w:hAnsi="Arial"/>
          <w:sz w:val="20"/>
        </w:rPr>
      </w:pPr>
      <w:r>
        <w:rPr>
          <w:rFonts w:ascii="Arial" w:hAnsi="Arial"/>
          <w:sz w:val="20"/>
        </w:rPr>
        <w:t xml:space="preserve">We hereby consent to the incorporation by reference in the Prospectus constituting a part of this Registration Statement of our report dated March 12, 2026, relating to the financial statements of Whitehawk Therapeutics, Inc. (the Company) appearing in the Company’s Annual Report on Form 10-K for the year ended December 31, 2025. </w:t>
      </w:r>
    </w:p>
    <w:p>
      <w:pPr>
        <w:pStyle w:val="TextBody"/>
        <w:bidi w:val="0"/>
        <w:spacing w:before="240" w:after="0"/>
        <w:jc w:val="both"/>
        <w:rPr>
          <w:rFonts w:ascii="Arial" w:hAnsi="Arial"/>
          <w:sz w:val="20"/>
        </w:rPr>
      </w:pPr>
      <w:r>
        <w:rPr>
          <w:rFonts w:ascii="Arial" w:hAnsi="Arial"/>
          <w:sz w:val="20"/>
        </w:rPr>
        <w:t xml:space="preserve">We also consent to the reference to us under the caption “Experts” in the Prospectus. </w:t>
      </w:r>
    </w:p>
    <w:p>
      <w:pPr>
        <w:pStyle w:val="TextBody"/>
        <w:bidi w:val="0"/>
        <w:spacing w:before="240" w:after="0"/>
        <w:jc w:val="both"/>
        <w:rPr>
          <w:rFonts w:ascii="Arial" w:hAnsi="Arial"/>
          <w:sz w:val="20"/>
        </w:rPr>
      </w:pPr>
      <w:r>
        <w:rPr>
          <w:rFonts w:ascii="Arial" w:hAnsi="Arial"/>
          <w:sz w:val="20"/>
        </w:rPr>
        <w:t xml:space="preserve">/s/ BDO USA, P.C. </w:t>
      </w:r>
    </w:p>
    <w:p>
      <w:pPr>
        <w:pStyle w:val="TextBody"/>
        <w:bidi w:val="0"/>
        <w:spacing w:before="240" w:after="0"/>
        <w:jc w:val="both"/>
        <w:rPr>
          <w:rFonts w:ascii="Arial" w:hAnsi="Arial"/>
          <w:sz w:val="20"/>
        </w:rPr>
      </w:pPr>
      <w:r>
        <w:rPr>
          <w:rFonts w:ascii="Arial" w:hAnsi="Arial"/>
          <w:sz w:val="20"/>
        </w:rPr>
        <w:t xml:space="preserve">BDO USA, P.C. </w:t>
      </w:r>
    </w:p>
    <w:p>
      <w:pPr>
        <w:pStyle w:val="TextBody"/>
        <w:bidi w:val="0"/>
        <w:spacing w:before="0" w:after="0"/>
        <w:jc w:val="left"/>
        <w:rPr>
          <w:rFonts w:ascii="Arial" w:hAnsi="Arial"/>
          <w:sz w:val="20"/>
        </w:rPr>
      </w:pPr>
      <w:r>
        <w:rPr>
          <w:rFonts w:ascii="Arial" w:hAnsi="Arial"/>
          <w:sz w:val="20"/>
        </w:rPr>
        <w:t xml:space="preserve">San Diego, California </w:t>
      </w:r>
    </w:p>
    <w:p>
      <w:pPr>
        <w:pStyle w:val="TextBody"/>
        <w:bidi w:val="0"/>
        <w:spacing w:before="240" w:after="0"/>
        <w:jc w:val="left"/>
        <w:rPr>
          <w:rFonts w:ascii="Arial" w:hAnsi="Arial"/>
          <w:sz w:val="20"/>
        </w:rPr>
      </w:pPr>
      <w:r>
        <w:rPr>
          <w:rFonts w:ascii="Arial" w:hAnsi="Arial"/>
          <w:sz w:val="20"/>
        </w:rPr>
        <w:t xml:space="preserve">May 29, 2026 </w:t>
      </w:r>
    </w:p>
    <w:p>
      <w:pPr>
        <w:pStyle w:val="Normal"/>
        <w:bidi w:val="0"/>
        <w:spacing w:before="0" w:after="0"/>
        <w:jc w:val="left"/>
        <w:rPr>
          <w:sz w:val="4"/>
          <w:szCs w:val="4"/>
        </w:rPr>
      </w:pPr>
      <w:r>
        <w:rPr>
          <w:sz w:val="4"/>
          <w:szCs w:val="4"/>
        </w:rPr>
      </w:r>
      <w:bookmarkStart w:id="20" w:name="d155546dexfilingfees.htm"/>
      <w:bookmarkStart w:id="21" w:name="ksd155546dexfilingfees"/>
      <w:bookmarkStart w:id="22" w:name="d155546dexfilingfees.htm"/>
      <w:bookmarkStart w:id="23" w:name="ksd155546dexfilingfees"/>
      <w:bookmarkEnd w:id="22"/>
      <w:bookmarkEnd w:id="23"/>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Whitehawk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22,321,887 </w:t>
            </w:r>
          </w:p>
        </w:tc>
        <w:tc>
          <w:tcPr>
            <w:tcW w:w="1156" w:type="dxa"/>
            <w:tcBorders/>
            <w:shd w:fill="E7E7E2" w:val="clear"/>
            <w:vAlign w:val="center"/>
          </w:tcPr>
          <w:p>
            <w:pPr>
              <w:pStyle w:val="TableContents"/>
              <w:bidi w:val="0"/>
              <w:spacing w:before="0" w:after="283"/>
              <w:jc w:val="right"/>
              <w:rPr/>
            </w:pPr>
            <w:r>
              <w:rPr/>
              <w:t xml:space="preserve">$ 4.54 </w:t>
            </w:r>
          </w:p>
        </w:tc>
        <w:tc>
          <w:tcPr>
            <w:tcW w:w="1786" w:type="dxa"/>
            <w:tcBorders/>
            <w:shd w:fill="E7E7E2" w:val="clear"/>
            <w:vAlign w:val="center"/>
          </w:tcPr>
          <w:p>
            <w:pPr>
              <w:pStyle w:val="TableContents"/>
              <w:bidi w:val="0"/>
              <w:spacing w:before="0" w:after="283"/>
              <w:jc w:val="right"/>
              <w:rPr/>
            </w:pPr>
            <w:r>
              <w:rPr/>
              <w:t xml:space="preserve">$ 101,341,366.98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$ 13,995.24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4" w:name="MaxAggtOfferingPrice"/>
            <w:bookmarkEnd w:id="24"/>
            <w:r>
              <w:rPr/>
              <w:t xml:space="preserve">$ 101,341,366.98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$ 13,995.24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$ 13,995.24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of the Securities Act of 1933, as amended,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 (2) This registration statement registers 4,330,866 outstanding shares of common stock of the registrant and 17,991,021 shares of common stock of the registrant issuable upon the exercise of pre-funded warrants issued by the registrant at an exercise price of $0.0001 per share. (3) Estimated solely for the purpose of calculating the registration fee according to Rule 457(c) under the Securities Act of 1933, as amended, based on the average of the high ($4.70) and low ($4.38) prices of the registrant's common stock reported on the Nasdaq Capital Market on May 22, 2026, which is within five business days prior to filing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22142/000119312526104158/whwk-20251231.htm" TargetMode="External"/><Relationship Id="rId4" Type="http://schemas.openxmlformats.org/officeDocument/2006/relationships/hyperlink" Target="http://www.sec.gov/Archives/edgar/data/../../../ix?doc=/Archives/edgar/data/1422142/000119312526187149/whwk-20260428.htm" TargetMode="External"/><Relationship Id="rId5" Type="http://schemas.openxmlformats.org/officeDocument/2006/relationships/hyperlink" Target="http://www.sec.gov/Archives/edgar/data/../../../ix?doc=/Archives/edgar/data/1422142/000119312526212075/whwk-20260331.htm" TargetMode="External"/><Relationship Id="rId6" Type="http://schemas.openxmlformats.org/officeDocument/2006/relationships/hyperlink" Target="http://www.sec.gov/Archives/edgar/data/../../../ix?doc=/Archives/edgar/data/1422142/000119312526220656/d854431d8k.htm" TargetMode="External"/><Relationship Id="rId7" Type="http://schemas.openxmlformats.org/officeDocument/2006/relationships/hyperlink" Target="http://www.sec.gov/Archives/edgar/data/../../../ix?doc=/Archives/edgar/data/1422142/000119312526234890/d32951d8k.htm" TargetMode="External"/><Relationship Id="rId8" Type="http://schemas.openxmlformats.org/officeDocument/2006/relationships/hyperlink" Target="http://www.sec.gov/Archives/edgar/data/1422142/000162828025015269/exh41-descriptionofsecurit.htm" TargetMode="External"/><Relationship Id="rId9" Type="http://schemas.openxmlformats.org/officeDocument/2006/relationships/hyperlink" Target="http://www.sec.gov/Archives/edgar/data/../../../ix?doc=/Archives/edgar/data/1422142/000162828025015269/aadi-20241231.htm" TargetMode="External"/><Relationship Id="rId10" Type="http://schemas.openxmlformats.org/officeDocument/2006/relationships/image" Target="media/image1.jpeg"/><Relationship Id="rId11" Type="http://schemas.openxmlformats.org/officeDocument/2006/relationships/hyperlink" Target="http://www.sec.gov/Archives/edgar/data/1422142/000119312525068942/d906583dex41.htm" TargetMode="External"/><Relationship Id="rId12" Type="http://schemas.openxmlformats.org/officeDocument/2006/relationships/hyperlink" Target="http://www.sec.gov/Archives/edgar/data/1422142/000119312526220656/d854431dex41.htm" TargetMode="External"/><Relationship Id="rId13" Type="http://schemas.openxmlformats.org/officeDocument/2006/relationships/hyperlink" Target="http://www.sec.gov/Archives/edgar/data/1422142/000119312526220656/d854431dex101.htm" TargetMode="External"/><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24818</Words>
  <Characters>133558</Characters>
  <CharactersWithSpaces>158733</CharactersWithSpaces>
  <Paragraphs>1652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