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hwk-20260611.htm"/>
      <w:bookmarkStart w:id="1" w:name="kswhwk202606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Whitehawk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391" w:type="dxa"/>
        <w:jc w:val="left"/>
        <w:tblInd w:w="0" w:type="dxa"/>
        <w:tblLayout w:type="fixed"/>
        <w:tblCellMar>
          <w:top w:w="28" w:type="dxa"/>
          <w:left w:w="28" w:type="dxa"/>
          <w:bottom w:w="28" w:type="dxa"/>
          <w:right w:w="28" w:type="dxa"/>
        </w:tblCellMar>
      </w:tblPr>
      <w:tblGrid>
        <w:gridCol w:w="1134"/>
        <w:gridCol w:w="1035"/>
        <w:gridCol w:w="1040"/>
        <w:gridCol w:w="1846"/>
        <w:gridCol w:w="1336"/>
      </w:tblGrid>
      <w:tr>
        <w:trPr/>
        <w:tc>
          <w:tcPr>
            <w:tcW w:w="113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61-1547850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0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Headquarters Plaza, East Building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Morristown, New Jersey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07960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551</w:t>
            </w:r>
            <w:r>
              <w:rPr>
                <w:rFonts w:ascii="Times New Roman" w:hAnsi="Times New Roman"/>
                <w:color w:val="000000"/>
                <w:sz w:val="20"/>
              </w:rPr>
              <w:t xml:space="preserve"> </w:t>
            </w:r>
            <w:r>
              <w:rPr>
                <w:rFonts w:ascii="Times New Roman" w:hAnsi="Times New Roman"/>
                <w:b/>
                <w:color w:val="000000"/>
                <w:sz w:val="20"/>
              </w:rPr>
              <w:t>321-2234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WHWK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both"/>
        <w:rPr>
          <w:rFonts w:ascii="Times New Roman" w:hAnsi="Times New Roman"/>
          <w:sz w:val="20"/>
        </w:rPr>
      </w:pPr>
      <w:r>
        <w:rPr>
          <w:rFonts w:ascii="Times New Roman" w:hAnsi="Times New Roman"/>
          <w:color w:val="000000"/>
          <w:sz w:val="20"/>
        </w:rPr>
        <w:t>Whitehawk Therapeutics, Inc. (the “</w:t>
      </w:r>
      <w:r>
        <w:rPr>
          <w:rFonts w:ascii="Times New Roman" w:hAnsi="Times New Roman"/>
          <w:color w:val="000000"/>
          <w:sz w:val="20"/>
          <w:u w:val="single"/>
        </w:rPr>
        <w:t>Company</w:t>
      </w:r>
      <w:r>
        <w:rPr>
          <w:rFonts w:ascii="Times New Roman" w:hAnsi="Times New Roman"/>
          <w:color w:val="000000"/>
          <w:sz w:val="20"/>
        </w:rPr>
        <w:t>”) held its annual meeting of stockholders on June 11, 2026 (the “</w:t>
      </w:r>
      <w:r>
        <w:rPr>
          <w:rFonts w:ascii="Times New Roman" w:hAnsi="Times New Roman"/>
          <w:color w:val="000000"/>
          <w:sz w:val="20"/>
          <w:u w:val="single"/>
        </w:rPr>
        <w:t>Annual Meeting</w:t>
      </w:r>
      <w:r>
        <w:rPr>
          <w:rFonts w:ascii="Times New Roman" w:hAnsi="Times New Roman"/>
          <w:color w:val="000000"/>
          <w:sz w:val="20"/>
        </w:rPr>
        <w:t>”). At the Annual Meeting, 40,375,023 shares of common stock of the Company, representing approximately 82% of the voting power of all issued and outstanding shares of common stock of the Company as of April 17, 2026, the record date for the Annual Meeting, and constituting a quorum for the transaction of business, were present in person or by proxy and considered and voted on the following proposals, each of which is described in more detail in the Company’s definitive proxy statement for the Annual Meeting filed with the Securities and Exchange Commission on April 28, 2026 (the “</w:t>
      </w:r>
      <w:r>
        <w:rPr>
          <w:rFonts w:ascii="Times New Roman" w:hAnsi="Times New Roman"/>
          <w:color w:val="000000"/>
          <w:sz w:val="20"/>
          <w:u w:val="single"/>
        </w:rPr>
        <w:t>Proxy</w:t>
      </w:r>
      <w:r>
        <w:rPr>
          <w:rFonts w:ascii="Times New Roman" w:hAnsi="Times New Roman"/>
          <w:color w:val="000000"/>
          <w:sz w:val="20"/>
        </w:rPr>
        <w:t xml:space="preserve"> </w:t>
      </w:r>
      <w:r>
        <w:rPr>
          <w:rFonts w:ascii="Times New Roman" w:hAnsi="Times New Roman"/>
          <w:color w:val="000000"/>
          <w:sz w:val="20"/>
          <w:u w:val="single"/>
        </w:rPr>
        <w:t>Statement</w:t>
      </w:r>
      <w:r>
        <w:rPr>
          <w:rFonts w:ascii="Times New Roman" w:hAnsi="Times New Roman"/>
          <w:color w:val="000000"/>
          <w:sz w:val="20"/>
        </w:rPr>
        <w:t>”): (1) the election of three Class III directors for terms to expire at the Company’s 2029 annual meeting of stockholders and until their respective successors have been duly elected and qualified, or until their earlier resignation, death or removal; (2) on an advisory basis, the compensation of the named executive officers identified in the 2025 Summary Compensation Table in the “Executive Compensation” section of the Proxy Statement; and (3) the ratification of the appointment of BDO USA, P.C. as the Company’s independent registered public accounting firm for the current fiscal year ending December 31,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voting results at the Annual Meeting with respect to each of the matters described above were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Proposal 1: </w:t>
      </w:r>
      <w:r>
        <w:rPr>
          <w:rFonts w:ascii="Times New Roman" w:hAnsi="Times New Roman"/>
          <w:color w:val="000000"/>
          <w:sz w:val="20"/>
        </w:rPr>
        <w:t>Election of three Class III directors to serve on the Company’s board of directors until the 2029 Annual Meeting of Stockholders and until their respective successors have been duly elected and qualified, or until their earlier resignation, death or removal.</w:t>
      </w:r>
    </w:p>
    <w:p>
      <w:pPr>
        <w:pStyle w:val="TextBody"/>
        <w:bidi w:val="0"/>
        <w:jc w:val="left"/>
        <w:rPr/>
      </w:pPr>
      <w:r>
        <w:rPr/>
        <w:t> </w:t>
      </w:r>
    </w:p>
    <w:tbl>
      <w:tblPr>
        <w:tblW w:w="5244" w:type="dxa"/>
        <w:jc w:val="left"/>
        <w:tblInd w:w="0" w:type="dxa"/>
        <w:tblLayout w:type="fixed"/>
        <w:tblCellMar>
          <w:top w:w="28" w:type="dxa"/>
          <w:left w:w="28" w:type="dxa"/>
          <w:bottom w:w="28" w:type="dxa"/>
          <w:right w:w="28" w:type="dxa"/>
        </w:tblCellMar>
      </w:tblPr>
      <w:tblGrid>
        <w:gridCol w:w="1996"/>
        <w:gridCol w:w="146"/>
        <w:gridCol w:w="916"/>
        <w:gridCol w:w="146"/>
        <w:gridCol w:w="826"/>
        <w:gridCol w:w="152"/>
        <w:gridCol w:w="863"/>
        <w:gridCol w:w="199"/>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4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Director</w:t>
            </w:r>
          </w:p>
        </w:tc>
        <w:tc>
          <w:tcPr>
            <w:tcW w:w="10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Withheld</w:t>
            </w:r>
          </w:p>
        </w:tc>
        <w:tc>
          <w:tcPr>
            <w:tcW w:w="121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Broker Non-Votes</w:t>
            </w:r>
          </w:p>
        </w:tc>
      </w:tr>
      <w:tr>
        <w:trPr/>
        <w:tc>
          <w:tcPr>
            <w:tcW w:w="19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Behzad Aghazadeh, Ph.D.</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26,666,124</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5,867,225</w:t>
            </w:r>
          </w:p>
        </w:tc>
        <w:tc>
          <w:tcPr>
            <w:tcW w:w="152"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pPr>
            <w:r>
              <w:rPr/>
              <w:t> </w:t>
            </w:r>
          </w:p>
        </w:tc>
        <w:tc>
          <w:tcPr>
            <w:tcW w:w="86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7,841,674</w:t>
            </w:r>
          </w:p>
        </w:tc>
        <w:tc>
          <w:tcPr>
            <w:tcW w:w="199"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pPr>
            <w:r>
              <w:rPr/>
              <w:t> </w:t>
            </w:r>
          </w:p>
        </w:tc>
      </w:tr>
      <w:tr>
        <w:trPr/>
        <w:tc>
          <w:tcPr>
            <w:tcW w:w="21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Maroun</w:t>
            </w:r>
          </w:p>
        </w:tc>
        <w:tc>
          <w:tcPr>
            <w:tcW w:w="9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27,701,332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4,832,017</w:t>
            </w:r>
          </w:p>
        </w:tc>
        <w:tc>
          <w:tcPr>
            <w:tcW w:w="1015"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7,841,674</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Emma Reeve</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27,704,564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4,828,785</w:t>
            </w:r>
          </w:p>
        </w:tc>
        <w:tc>
          <w:tcPr>
            <w:tcW w:w="1015"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7,841,674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br/>
        <w:br/>
        <w:t xml:space="preserve">Proposal 2: </w:t>
      </w:r>
      <w:r>
        <w:rPr>
          <w:rFonts w:ascii="Times New Roman" w:hAnsi="Times New Roman"/>
          <w:color w:val="000000"/>
          <w:sz w:val="20"/>
        </w:rPr>
        <w:t>To approve, on an advisory basis, the compensation of the named executive officers identified in the 2025 Summary Compensation Table in the “Executive Compensation” section of the Proxy Statement.</w:t>
      </w:r>
    </w:p>
    <w:p>
      <w:pPr>
        <w:pStyle w:val="TextBody"/>
        <w:bidi w:val="0"/>
        <w:jc w:val="left"/>
        <w:rPr/>
      </w:pPr>
      <w:r>
        <w:rPr/>
        <w:t> </w:t>
      </w:r>
    </w:p>
    <w:tbl>
      <w:tblPr>
        <w:tblW w:w="4237" w:type="dxa"/>
        <w:jc w:val="left"/>
        <w:tblInd w:w="0" w:type="dxa"/>
        <w:tblLayout w:type="fixed"/>
        <w:tblCellMar>
          <w:top w:w="28" w:type="dxa"/>
          <w:left w:w="28" w:type="dxa"/>
          <w:bottom w:w="28" w:type="dxa"/>
          <w:right w:w="28" w:type="dxa"/>
        </w:tblCellMar>
      </w:tblPr>
      <w:tblGrid>
        <w:gridCol w:w="931"/>
        <w:gridCol w:w="146"/>
        <w:gridCol w:w="826"/>
        <w:gridCol w:w="146"/>
        <w:gridCol w:w="826"/>
        <w:gridCol w:w="146"/>
        <w:gridCol w:w="121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0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w:t>
            </w:r>
          </w:p>
        </w:tc>
        <w:tc>
          <w:tcPr>
            <w:tcW w:w="9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Against</w:t>
            </w:r>
          </w:p>
        </w:tc>
        <w:tc>
          <w:tcPr>
            <w:tcW w:w="9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Abstentions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Broker Non-Votes</w:t>
            </w:r>
          </w:p>
        </w:tc>
      </w:tr>
      <w:tr>
        <w:trPr/>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22,896,061</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right"/>
              <w:rPr/>
            </w:pPr>
            <w:r>
              <w:rPr/>
              <w:t> </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6,013,600</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right"/>
              <w:rPr/>
            </w:pPr>
            <w:r>
              <w:rPr/>
              <w:t> </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3,623,688</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right"/>
              <w:rPr/>
            </w:pPr>
            <w:r>
              <w:rPr/>
              <w:t> </w:t>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7,841,674</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9"/>
        </w:rPr>
        <w:br/>
        <w:br/>
        <w:t xml:space="preserve">Proposal 3: </w:t>
      </w:r>
      <w:r>
        <w:rPr>
          <w:rFonts w:ascii="Times New Roman" w:hAnsi="Times New Roman"/>
          <w:color w:val="000000"/>
          <w:sz w:val="19"/>
        </w:rPr>
        <w:t>Ratification of the appointment of BDO USA, P.C. as the Company’s independent registered public accounting firm for the fiscal year</w:t>
      </w:r>
      <w:r>
        <w:rPr>
          <w:rFonts w:ascii="Times New Roman" w:hAnsi="Times New Roman"/>
          <w:color w:val="000000"/>
          <w:sz w:val="20"/>
        </w:rPr>
        <w:t xml:space="preserve"> </w:t>
      </w:r>
      <w:r>
        <w:rPr>
          <w:rFonts w:ascii="Times New Roman" w:hAnsi="Times New Roman"/>
          <w:color w:val="000000"/>
          <w:sz w:val="19"/>
        </w:rPr>
        <w:t>ending December 31, 2026.</w:t>
      </w:r>
    </w:p>
    <w:p>
      <w:pPr>
        <w:pStyle w:val="TextBody"/>
        <w:bidi w:val="0"/>
        <w:jc w:val="left"/>
        <w:rPr/>
      </w:pPr>
      <w:r>
        <w:rPr/>
        <w:t> </w:t>
      </w:r>
    </w:p>
    <w:tbl>
      <w:tblPr>
        <w:tblW w:w="2920" w:type="dxa"/>
        <w:jc w:val="left"/>
        <w:tblInd w:w="0" w:type="dxa"/>
        <w:tblLayout w:type="fixed"/>
        <w:tblCellMar>
          <w:top w:w="28" w:type="dxa"/>
          <w:left w:w="28" w:type="dxa"/>
          <w:bottom w:w="28" w:type="dxa"/>
          <w:right w:w="28" w:type="dxa"/>
        </w:tblCellMar>
      </w:tblPr>
      <w:tblGrid>
        <w:gridCol w:w="931"/>
        <w:gridCol w:w="146"/>
        <w:gridCol w:w="826"/>
        <w:gridCol w:w="146"/>
        <w:gridCol w:w="87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0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w:t>
            </w:r>
          </w:p>
        </w:tc>
        <w:tc>
          <w:tcPr>
            <w:tcW w:w="9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Against</w:t>
            </w:r>
          </w:p>
        </w:tc>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Abstentions</w:t>
            </w:r>
          </w:p>
        </w:tc>
      </w:tr>
      <w:tr>
        <w:trPr/>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34,795,850</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right"/>
              <w:rPr/>
            </w:pPr>
            <w:r>
              <w:rPr/>
              <w:t> </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1,148,282</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right"/>
              <w:rPr/>
            </w:pPr>
            <w:r>
              <w:rPr/>
              <w:t> </w:t>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4,430,891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79" w:type="dxa"/>
        <w:jc w:val="left"/>
        <w:tblInd w:w="0" w:type="dxa"/>
        <w:tblLayout w:type="fixed"/>
        <w:tblCellMar>
          <w:top w:w="28" w:type="dxa"/>
          <w:left w:w="28" w:type="dxa"/>
          <w:bottom w:w="28" w:type="dxa"/>
          <w:right w:w="28" w:type="dxa"/>
        </w:tblCellMar>
      </w:tblPr>
      <w:tblGrid>
        <w:gridCol w:w="556"/>
        <w:gridCol w:w="1246"/>
        <w:gridCol w:w="451"/>
        <w:gridCol w:w="352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WHITEHAWK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5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Scott Giacobello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Scott Giacobello</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4066</Characters>
  <CharactersWithSpaces>4778</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